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4F917" w14:textId="77777777" w:rsidR="008F7FAD" w:rsidRPr="00B73F28" w:rsidRDefault="008F7FAD" w:rsidP="008F7FAD">
      <w:pPr>
        <w:spacing w:after="60"/>
        <w:ind w:left="720"/>
        <w:jc w:val="right"/>
        <w:rPr>
          <w:i/>
        </w:rPr>
      </w:pPr>
      <w:r>
        <w:rPr>
          <w:i/>
        </w:rPr>
        <w:t>Modulo richiesta assegno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755"/>
        <w:gridCol w:w="2609"/>
        <w:gridCol w:w="1427"/>
        <w:gridCol w:w="1097"/>
      </w:tblGrid>
      <w:tr w:rsidR="00A1250E" w:rsidRPr="00F70053" w14:paraId="4B257B52" w14:textId="79A336C1" w:rsidTr="00A1250E">
        <w:tc>
          <w:tcPr>
            <w:tcW w:w="1807" w:type="dxa"/>
            <w:shd w:val="clear" w:color="auto" w:fill="auto"/>
            <w:vAlign w:val="center"/>
          </w:tcPr>
          <w:p w14:paraId="1E24CEAF" w14:textId="77777777" w:rsidR="00A1250E" w:rsidRPr="00F70053" w:rsidRDefault="00A1250E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br w:type="page"/>
            </w:r>
            <w:r w:rsidRPr="00F70053">
              <w:rPr>
                <w:b/>
                <w:sz w:val="28"/>
                <w:szCs w:val="28"/>
              </w:rPr>
              <w:br w:type="page"/>
            </w:r>
            <w:r w:rsidRPr="00F70053">
              <w:rPr>
                <w:b/>
                <w:sz w:val="28"/>
                <w:szCs w:val="28"/>
              </w:rPr>
              <w:br w:type="page"/>
            </w:r>
            <w:r w:rsidRPr="00F70053">
              <w:rPr>
                <w:b/>
                <w:sz w:val="28"/>
                <w:szCs w:val="28"/>
              </w:rPr>
              <w:br w:type="page"/>
              <w:t>TUTOR</w:t>
            </w:r>
          </w:p>
        </w:tc>
        <w:tc>
          <w:tcPr>
            <w:tcW w:w="4453" w:type="dxa"/>
            <w:gridSpan w:val="2"/>
            <w:shd w:val="clear" w:color="auto" w:fill="auto"/>
            <w:vAlign w:val="center"/>
          </w:tcPr>
          <w:p w14:paraId="0519D5A3" w14:textId="15369322" w:rsidR="00A1250E" w:rsidRPr="00F70053" w:rsidRDefault="00C85DDA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Davide Agnoletti</w:t>
            </w:r>
          </w:p>
        </w:tc>
        <w:tc>
          <w:tcPr>
            <w:tcW w:w="1828" w:type="dxa"/>
          </w:tcPr>
          <w:p w14:paraId="0C276BAC" w14:textId="77777777" w:rsidR="00A1250E" w:rsidRPr="005B08A9" w:rsidRDefault="00A1250E" w:rsidP="00945AFC">
            <w:pPr>
              <w:spacing w:before="60" w:after="6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40" w:type="dxa"/>
          </w:tcPr>
          <w:p w14:paraId="05788B85" w14:textId="77777777" w:rsidR="00A1250E" w:rsidRPr="005B08A9" w:rsidRDefault="00A1250E" w:rsidP="00945AFC">
            <w:pPr>
              <w:spacing w:before="60" w:after="6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A1250E" w:rsidRPr="00F70053" w14:paraId="5C550576" w14:textId="7C8D151A" w:rsidTr="009C20FB">
        <w:tc>
          <w:tcPr>
            <w:tcW w:w="9628" w:type="dxa"/>
            <w:gridSpan w:val="5"/>
            <w:shd w:val="clear" w:color="auto" w:fill="auto"/>
            <w:vAlign w:val="center"/>
          </w:tcPr>
          <w:p w14:paraId="4B6F7198" w14:textId="7B01CC07" w:rsidR="00A1250E" w:rsidRPr="00D52083" w:rsidRDefault="00A1250E" w:rsidP="00945AFC">
            <w:pPr>
              <w:spacing w:before="60" w:after="60"/>
              <w:jc w:val="both"/>
              <w:rPr>
                <w:i/>
              </w:rPr>
            </w:pPr>
            <w:r w:rsidRPr="002E1FF5">
              <w:rPr>
                <w:b/>
                <w:sz w:val="28"/>
                <w:szCs w:val="28"/>
              </w:rPr>
              <w:t xml:space="preserve">PRODUZIONE SCIENTIFICA </w:t>
            </w:r>
            <w:r>
              <w:rPr>
                <w:b/>
                <w:sz w:val="28"/>
                <w:szCs w:val="28"/>
              </w:rPr>
              <w:t>TUTOR</w:t>
            </w:r>
            <w:r w:rsidRPr="002E1FF5">
              <w:rPr>
                <w:b/>
                <w:sz w:val="28"/>
                <w:szCs w:val="28"/>
              </w:rPr>
              <w:t xml:space="preserve"> </w:t>
            </w:r>
            <w:r w:rsidRPr="0083559D">
              <w:rPr>
                <w:b/>
                <w:sz w:val="28"/>
                <w:szCs w:val="28"/>
                <w:u w:val="single"/>
              </w:rPr>
              <w:t>NELL’ULTIMO QUADRIENNIO</w:t>
            </w:r>
          </w:p>
        </w:tc>
      </w:tr>
      <w:tr w:rsidR="00A1250E" w:rsidRPr="00F70053" w14:paraId="4D2BF1E9" w14:textId="0D65A478" w:rsidTr="00A1250E">
        <w:tc>
          <w:tcPr>
            <w:tcW w:w="2215" w:type="dxa"/>
            <w:gridSpan w:val="2"/>
            <w:shd w:val="clear" w:color="auto" w:fill="auto"/>
            <w:vAlign w:val="center"/>
          </w:tcPr>
          <w:p w14:paraId="44BF5FED" w14:textId="30518579" w:rsidR="00A1250E" w:rsidRPr="0021533C" w:rsidRDefault="00A1250E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4045" w:type="dxa"/>
            <w:shd w:val="clear" w:color="auto" w:fill="auto"/>
            <w:vAlign w:val="center"/>
          </w:tcPr>
          <w:p w14:paraId="7CCFDBB0" w14:textId="3AE2F227" w:rsidR="00A1250E" w:rsidRPr="0021533C" w:rsidRDefault="003734D3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ARTICOLO (autori, titolo, rivista, anno)</w:t>
            </w:r>
          </w:p>
        </w:tc>
        <w:tc>
          <w:tcPr>
            <w:tcW w:w="1828" w:type="dxa"/>
          </w:tcPr>
          <w:p w14:paraId="5757F3BD" w14:textId="0F3CCED4" w:rsidR="00A1250E" w:rsidRDefault="00A1250E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INDICE UNICO</w:t>
            </w:r>
          </w:p>
        </w:tc>
        <w:tc>
          <w:tcPr>
            <w:tcW w:w="1540" w:type="dxa"/>
          </w:tcPr>
          <w:p w14:paraId="0F6357AE" w14:textId="041ABFE8" w:rsidR="00A1250E" w:rsidRDefault="00A1250E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52083">
              <w:rPr>
                <w:i/>
              </w:rPr>
              <w:t>Punti</w:t>
            </w:r>
          </w:p>
        </w:tc>
      </w:tr>
      <w:tr w:rsidR="00A1250E" w:rsidRPr="00F70053" w14:paraId="6F909ECE" w14:textId="712757A5" w:rsidTr="003734D3">
        <w:trPr>
          <w:trHeight w:val="4137"/>
        </w:trPr>
        <w:tc>
          <w:tcPr>
            <w:tcW w:w="2215" w:type="dxa"/>
            <w:gridSpan w:val="2"/>
            <w:vMerge w:val="restart"/>
            <w:shd w:val="clear" w:color="auto" w:fill="auto"/>
            <w:vAlign w:val="center"/>
          </w:tcPr>
          <w:p w14:paraId="29EC64F7" w14:textId="189FED73" w:rsidR="00A1250E" w:rsidRPr="0021533C" w:rsidRDefault="00A1250E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lavori in </w:t>
            </w:r>
            <w:proofErr w:type="spellStart"/>
            <w:r>
              <w:rPr>
                <w:sz w:val="28"/>
                <w:szCs w:val="28"/>
              </w:rPr>
              <w:t>extenso</w:t>
            </w:r>
            <w:proofErr w:type="spellEnd"/>
            <w:r>
              <w:rPr>
                <w:sz w:val="28"/>
                <w:szCs w:val="28"/>
              </w:rPr>
              <w:t xml:space="preserve"> su riviste indicizzate </w:t>
            </w:r>
            <w:r w:rsidR="003734D3">
              <w:rPr>
                <w:sz w:val="28"/>
                <w:szCs w:val="28"/>
              </w:rPr>
              <w:t>con valutazione indice unico da VRA2022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7C3FB0CC" w14:textId="35F2F13A" w:rsidR="00C53467" w:rsidRPr="00C53467" w:rsidRDefault="00C53467" w:rsidP="00C53467">
            <w:proofErr w:type="spellStart"/>
            <w:r w:rsidRPr="00C53467">
              <w:t>Valbusa</w:t>
            </w:r>
            <w:proofErr w:type="spellEnd"/>
            <w:r w:rsidRPr="00C53467">
              <w:t xml:space="preserve"> F, </w:t>
            </w:r>
            <w:r w:rsidRPr="00C53467">
              <w:rPr>
                <w:b/>
                <w:bCs/>
              </w:rPr>
              <w:t>Agnoletti D</w:t>
            </w:r>
            <w:r w:rsidRPr="00C53467">
              <w:t xml:space="preserve">, Scala L, Grillo C, Arduini P, </w:t>
            </w:r>
            <w:proofErr w:type="spellStart"/>
            <w:r w:rsidRPr="00C53467">
              <w:t>Bonapace</w:t>
            </w:r>
            <w:proofErr w:type="spellEnd"/>
            <w:r w:rsidRPr="00C53467">
              <w:t xml:space="preserve"> S, Calabria S, </w:t>
            </w:r>
            <w:proofErr w:type="spellStart"/>
            <w:r w:rsidRPr="00C53467">
              <w:t>Scaturro</w:t>
            </w:r>
            <w:proofErr w:type="spellEnd"/>
            <w:r w:rsidRPr="00C53467">
              <w:t xml:space="preserve"> G, Mantovani A, Zoppini G, et al. </w:t>
            </w:r>
            <w:r w:rsidRPr="00B35C15">
              <w:rPr>
                <w:lang w:val="en-US"/>
              </w:rPr>
              <w:t xml:space="preserve">Non-alcoholic fatty liver disease and increased risk of all-cause mortality in elderly patients admitted for acute heart failure. </w:t>
            </w:r>
            <w:proofErr w:type="spellStart"/>
            <w:r w:rsidRPr="00C53467">
              <w:t>Int</w:t>
            </w:r>
            <w:proofErr w:type="spellEnd"/>
            <w:r w:rsidRPr="00C53467">
              <w:t xml:space="preserve"> J </w:t>
            </w:r>
            <w:proofErr w:type="spellStart"/>
            <w:r w:rsidRPr="00C53467">
              <w:t>Cardiol</w:t>
            </w:r>
            <w:proofErr w:type="spellEnd"/>
            <w:r w:rsidRPr="00C53467">
              <w:t xml:space="preserve"> </w:t>
            </w:r>
            <w:proofErr w:type="gramStart"/>
            <w:r w:rsidRPr="00C53467">
              <w:t>2018;265:162</w:t>
            </w:r>
            <w:proofErr w:type="gramEnd"/>
            <w:r w:rsidRPr="00C53467">
              <w:t>–168.</w:t>
            </w:r>
          </w:p>
          <w:p w14:paraId="6CEA3217" w14:textId="77777777" w:rsidR="00A1250E" w:rsidRPr="0021533C" w:rsidRDefault="00A1250E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14:paraId="6958F5E6" w14:textId="7C13ACCC" w:rsidR="00A1250E" w:rsidRPr="0021533C" w:rsidRDefault="00C53467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</w:t>
            </w:r>
          </w:p>
        </w:tc>
        <w:tc>
          <w:tcPr>
            <w:tcW w:w="1540" w:type="dxa"/>
          </w:tcPr>
          <w:p w14:paraId="0D5A3FF1" w14:textId="3B238BF1" w:rsidR="00A1250E" w:rsidRPr="0021533C" w:rsidRDefault="00A1250E" w:rsidP="0056623A">
            <w:pPr>
              <w:tabs>
                <w:tab w:val="left" w:pos="634"/>
              </w:tabs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A1250E" w:rsidRPr="00F70053" w14:paraId="0D67B23E" w14:textId="5A53C2B6" w:rsidTr="003734D3">
        <w:trPr>
          <w:trHeight w:val="2693"/>
        </w:trPr>
        <w:tc>
          <w:tcPr>
            <w:tcW w:w="2215" w:type="dxa"/>
            <w:gridSpan w:val="2"/>
            <w:vMerge/>
            <w:shd w:val="clear" w:color="auto" w:fill="auto"/>
            <w:vAlign w:val="center"/>
          </w:tcPr>
          <w:p w14:paraId="1A2927D2" w14:textId="77777777" w:rsidR="00A1250E" w:rsidDel="00052630" w:rsidRDefault="00A1250E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4045" w:type="dxa"/>
            <w:shd w:val="clear" w:color="auto" w:fill="auto"/>
            <w:vAlign w:val="center"/>
          </w:tcPr>
          <w:p w14:paraId="37E954D1" w14:textId="5FF4EAA5" w:rsidR="00A1250E" w:rsidRPr="0021533C" w:rsidRDefault="00C53467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53467">
              <w:rPr>
                <w:rFonts w:ascii="Calibri" w:hAnsi="Calibri" w:cs="Calibri"/>
                <w:sz w:val="28"/>
                <w:szCs w:val="28"/>
              </w:rPr>
              <w:t>﻿</w:t>
            </w:r>
            <w:r w:rsidRPr="00C53467">
              <w:rPr>
                <w:b/>
                <w:bCs/>
                <w:lang w:val="en-US"/>
              </w:rPr>
              <w:t>Agnoletti D</w:t>
            </w:r>
            <w:r w:rsidRPr="00C53467">
              <w:rPr>
                <w:lang w:val="en-US"/>
              </w:rPr>
              <w:t xml:space="preserve">, Mansour AS, Zhang Y, </w:t>
            </w:r>
            <w:proofErr w:type="spellStart"/>
            <w:r w:rsidRPr="00C53467">
              <w:rPr>
                <w:lang w:val="en-US"/>
              </w:rPr>
              <w:t>Protogerou</w:t>
            </w:r>
            <w:proofErr w:type="spellEnd"/>
            <w:r w:rsidRPr="00C53467">
              <w:rPr>
                <w:lang w:val="en-US"/>
              </w:rPr>
              <w:t xml:space="preserve"> AD, </w:t>
            </w:r>
            <w:proofErr w:type="spellStart"/>
            <w:r w:rsidRPr="00C53467">
              <w:rPr>
                <w:lang w:val="en-US"/>
              </w:rPr>
              <w:t>Ouerdane</w:t>
            </w:r>
            <w:proofErr w:type="spellEnd"/>
            <w:r w:rsidRPr="00C53467">
              <w:rPr>
                <w:lang w:val="en-US"/>
              </w:rPr>
              <w:t xml:space="preserve"> S, </w:t>
            </w:r>
            <w:proofErr w:type="spellStart"/>
            <w:r w:rsidRPr="00C53467">
              <w:rPr>
                <w:lang w:val="en-US"/>
              </w:rPr>
              <w:t>Blacher</w:t>
            </w:r>
            <w:proofErr w:type="spellEnd"/>
            <w:r w:rsidRPr="00C53467">
              <w:rPr>
                <w:lang w:val="en-US"/>
              </w:rPr>
              <w:t xml:space="preserve"> J, Safar ME. Clinical interaction between diabetes duration and aortic stiffness in type 2 diabetes mellitus. </w:t>
            </w:r>
            <w:r w:rsidRPr="00C53467">
              <w:t xml:space="preserve">J </w:t>
            </w:r>
            <w:proofErr w:type="spellStart"/>
            <w:r w:rsidRPr="00C53467">
              <w:t>Hum</w:t>
            </w:r>
            <w:proofErr w:type="spellEnd"/>
            <w:r w:rsidRPr="00C53467">
              <w:t xml:space="preserve"> </w:t>
            </w:r>
            <w:proofErr w:type="spellStart"/>
            <w:r w:rsidRPr="00C53467">
              <w:t>Hypertens</w:t>
            </w:r>
            <w:proofErr w:type="spellEnd"/>
            <w:r w:rsidRPr="00C53467">
              <w:t xml:space="preserve"> </w:t>
            </w:r>
            <w:proofErr w:type="gramStart"/>
            <w:r w:rsidRPr="00C53467">
              <w:t>2017;31:189</w:t>
            </w:r>
            <w:proofErr w:type="gramEnd"/>
            <w:r w:rsidRPr="00C53467">
              <w:t>–194.</w:t>
            </w:r>
          </w:p>
        </w:tc>
        <w:tc>
          <w:tcPr>
            <w:tcW w:w="1828" w:type="dxa"/>
          </w:tcPr>
          <w:p w14:paraId="3064DA5B" w14:textId="6B1495EC" w:rsidR="00A1250E" w:rsidRPr="0021533C" w:rsidRDefault="00C53467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1540" w:type="dxa"/>
          </w:tcPr>
          <w:p w14:paraId="5A61A8DE" w14:textId="5DBC7B7C" w:rsidR="00A1250E" w:rsidRPr="0021533C" w:rsidRDefault="00A1250E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A1250E" w:rsidRPr="00F70053" w14:paraId="15E7211F" w14:textId="6F9823F0" w:rsidTr="003734D3">
        <w:trPr>
          <w:trHeight w:val="3242"/>
        </w:trPr>
        <w:tc>
          <w:tcPr>
            <w:tcW w:w="2215" w:type="dxa"/>
            <w:gridSpan w:val="2"/>
            <w:vMerge/>
            <w:shd w:val="clear" w:color="auto" w:fill="auto"/>
            <w:vAlign w:val="center"/>
          </w:tcPr>
          <w:p w14:paraId="5E2D9F9B" w14:textId="77777777" w:rsidR="00A1250E" w:rsidDel="00052630" w:rsidRDefault="00A1250E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4045" w:type="dxa"/>
            <w:shd w:val="clear" w:color="auto" w:fill="auto"/>
            <w:vAlign w:val="center"/>
          </w:tcPr>
          <w:p w14:paraId="2C862CD5" w14:textId="1E70102B" w:rsidR="001335C9" w:rsidRPr="001335C9" w:rsidRDefault="001335C9" w:rsidP="001335C9">
            <w:r w:rsidRPr="001335C9">
              <w:rPr>
                <w:b/>
                <w:bCs/>
                <w:lang w:val="en-US"/>
              </w:rPr>
              <w:t>Agnoletti D</w:t>
            </w:r>
            <w:r w:rsidRPr="001335C9">
              <w:rPr>
                <w:lang w:val="en-US"/>
              </w:rPr>
              <w:t xml:space="preserve">, Cicero AFG, </w:t>
            </w:r>
            <w:proofErr w:type="spellStart"/>
            <w:r w:rsidRPr="001335C9">
              <w:rPr>
                <w:lang w:val="en-US"/>
              </w:rPr>
              <w:t>Borghi</w:t>
            </w:r>
            <w:proofErr w:type="spellEnd"/>
            <w:r w:rsidRPr="001335C9">
              <w:rPr>
                <w:lang w:val="en-US"/>
              </w:rPr>
              <w:t xml:space="preserve"> C. The Impact of Uric Acid and Hyperuricemia on Cardiovascular and Renal Systems. </w:t>
            </w:r>
            <w:proofErr w:type="spellStart"/>
            <w:r w:rsidRPr="001335C9">
              <w:t>Cardiol</w:t>
            </w:r>
            <w:proofErr w:type="spellEnd"/>
            <w:r w:rsidRPr="001335C9">
              <w:t xml:space="preserve"> </w:t>
            </w:r>
            <w:proofErr w:type="spellStart"/>
            <w:r w:rsidRPr="001335C9">
              <w:t>Clin</w:t>
            </w:r>
            <w:proofErr w:type="spellEnd"/>
            <w:r w:rsidRPr="001335C9">
              <w:t xml:space="preserve"> </w:t>
            </w:r>
            <w:proofErr w:type="gramStart"/>
            <w:r w:rsidRPr="001335C9">
              <w:t>2021;39:365</w:t>
            </w:r>
            <w:proofErr w:type="gramEnd"/>
            <w:r w:rsidRPr="001335C9">
              <w:t xml:space="preserve">–376. </w:t>
            </w:r>
          </w:p>
          <w:p w14:paraId="1750E829" w14:textId="77777777" w:rsidR="00A1250E" w:rsidRPr="0021533C" w:rsidRDefault="00A1250E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14:paraId="7A6075DB" w14:textId="26CCFE91" w:rsidR="00A1250E" w:rsidRPr="0021533C" w:rsidRDefault="001335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1540" w:type="dxa"/>
          </w:tcPr>
          <w:p w14:paraId="3AA79F7B" w14:textId="22DA2335" w:rsidR="00A1250E" w:rsidRPr="0021533C" w:rsidRDefault="00A1250E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A1250E" w:rsidRPr="00F70053" w14:paraId="31CE2E87" w14:textId="77777777" w:rsidTr="008967C1">
        <w:trPr>
          <w:trHeight w:val="592"/>
        </w:trPr>
        <w:tc>
          <w:tcPr>
            <w:tcW w:w="8088" w:type="dxa"/>
            <w:gridSpan w:val="4"/>
            <w:shd w:val="clear" w:color="auto" w:fill="auto"/>
            <w:vAlign w:val="center"/>
          </w:tcPr>
          <w:p w14:paraId="6140CFD1" w14:textId="171374E6" w:rsidR="00A1250E" w:rsidRPr="00A1250E" w:rsidRDefault="00A1250E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A1250E">
              <w:rPr>
                <w:b/>
                <w:sz w:val="28"/>
                <w:szCs w:val="28"/>
              </w:rPr>
              <w:lastRenderedPageBreak/>
              <w:t xml:space="preserve">Totale </w:t>
            </w:r>
          </w:p>
        </w:tc>
        <w:tc>
          <w:tcPr>
            <w:tcW w:w="1540" w:type="dxa"/>
          </w:tcPr>
          <w:p w14:paraId="0E717625" w14:textId="258575F5" w:rsidR="00A1250E" w:rsidRPr="0021533C" w:rsidRDefault="00A1250E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A1250E" w:rsidRPr="0021533C" w14:paraId="4A69B6D9" w14:textId="4B9DFDBC" w:rsidTr="006E09AB">
        <w:trPr>
          <w:trHeight w:val="420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FD27" w14:textId="26748799" w:rsidR="00A1250E" w:rsidRPr="00A1250E" w:rsidRDefault="00A1250E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A1250E">
              <w:rPr>
                <w:b/>
                <w:sz w:val="28"/>
                <w:szCs w:val="28"/>
              </w:rPr>
              <w:t>DISSEMINAZIONE SCIENTIFICA E ATTIVITÀ DI TERZA MISSIONE</w:t>
            </w:r>
            <w:r>
              <w:rPr>
                <w:b/>
                <w:sz w:val="28"/>
                <w:szCs w:val="28"/>
              </w:rPr>
              <w:t xml:space="preserve"> TUTOR</w:t>
            </w:r>
            <w:r w:rsidRPr="0083559D">
              <w:rPr>
                <w:b/>
                <w:sz w:val="28"/>
                <w:szCs w:val="28"/>
                <w:u w:val="single"/>
              </w:rPr>
              <w:t xml:space="preserve"> NELL’ULTIMO QUADRIENNIO</w:t>
            </w:r>
          </w:p>
        </w:tc>
      </w:tr>
      <w:tr w:rsidR="00A1250E" w:rsidRPr="00FE6CF6" w14:paraId="64E90DA1" w14:textId="57CB6B34" w:rsidTr="00A1250E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F0E2" w14:textId="4E7975A1" w:rsidR="00A1250E" w:rsidRPr="0021533C" w:rsidRDefault="003734D3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A1250E">
              <w:rPr>
                <w:b/>
                <w:sz w:val="28"/>
                <w:szCs w:val="28"/>
              </w:rPr>
              <w:t xml:space="preserve">Tipologia </w:t>
            </w:r>
            <w:r>
              <w:rPr>
                <w:sz w:val="28"/>
                <w:szCs w:val="28"/>
              </w:rPr>
              <w:t>(seminario, congresso nazionale, congresso internazionale, attività di terza missione inserita su catalogo IRIS)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F979" w14:textId="7325EC91" w:rsidR="001335C9" w:rsidRPr="00A1250E" w:rsidRDefault="00A1250E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A1250E">
              <w:rPr>
                <w:b/>
                <w:sz w:val="28"/>
                <w:szCs w:val="28"/>
              </w:rPr>
              <w:t>Titolo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7FE9" w14:textId="64684CF0" w:rsidR="00A1250E" w:rsidRPr="0021533C" w:rsidRDefault="00A1250E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Punti</w:t>
            </w:r>
          </w:p>
        </w:tc>
      </w:tr>
      <w:tr w:rsidR="00A1250E" w:rsidRPr="00FE6CF6" w14:paraId="130F7515" w14:textId="7323D533" w:rsidTr="00A1250E">
        <w:trPr>
          <w:trHeight w:val="592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64D7" w14:textId="1EA8D227" w:rsidR="00A1250E" w:rsidRPr="0021533C" w:rsidRDefault="00741DAF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Congresso nazionale SIIA</w:t>
            </w:r>
            <w:r w:rsidR="00A321BA">
              <w:rPr>
                <w:sz w:val="28"/>
                <w:szCs w:val="28"/>
              </w:rPr>
              <w:t xml:space="preserve"> - 2022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E3F6" w14:textId="26F97629" w:rsidR="00A1250E" w:rsidRPr="0021533C" w:rsidRDefault="00A321BA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Lettura: </w:t>
            </w:r>
            <w:r w:rsidR="00741DAF">
              <w:rPr>
                <w:sz w:val="28"/>
                <w:szCs w:val="28"/>
              </w:rPr>
              <w:t>ACE-inibitori, ipertensione e cardiopatia ischemica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F146" w14:textId="77777777" w:rsidR="00A1250E" w:rsidRPr="0021533C" w:rsidRDefault="00A1250E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A1250E" w:rsidRPr="00FE6CF6" w14:paraId="2412FC2E" w14:textId="4552EC10" w:rsidTr="00A1250E">
        <w:trPr>
          <w:trHeight w:val="592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AFAA" w14:textId="5BC6DAC8" w:rsidR="00A1250E" w:rsidRPr="0021533C" w:rsidRDefault="00A321BA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Congresso nazionale Società italiana di </w:t>
            </w:r>
            <w:proofErr w:type="spellStart"/>
            <w:r>
              <w:rPr>
                <w:sz w:val="28"/>
                <w:szCs w:val="28"/>
              </w:rPr>
              <w:t>Nefrocardiologia</w:t>
            </w:r>
            <w:proofErr w:type="spellEnd"/>
            <w:r>
              <w:rPr>
                <w:sz w:val="28"/>
                <w:szCs w:val="28"/>
              </w:rPr>
              <w:t xml:space="preserve"> - 2022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91DF" w14:textId="53547256" w:rsidR="00A1250E" w:rsidRPr="0021533C" w:rsidRDefault="00A321BA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Lettura: Rischio cardiovascolare e iperuricemia: inquadramento clinico e terapia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EF4B" w14:textId="77777777" w:rsidR="00A1250E" w:rsidRPr="0021533C" w:rsidRDefault="00A1250E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A1250E" w:rsidRPr="00F1733A" w14:paraId="2EEEE8E1" w14:textId="6B86BCAD" w:rsidTr="00A1250E">
        <w:trPr>
          <w:trHeight w:val="592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9063" w14:textId="457D8118" w:rsidR="00A1250E" w:rsidRPr="00F1733A" w:rsidRDefault="00F1733A" w:rsidP="00945AFC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  <w:r w:rsidRPr="00F1733A">
              <w:rPr>
                <w:sz w:val="28"/>
                <w:szCs w:val="28"/>
                <w:lang w:val="en-US"/>
              </w:rPr>
              <w:t xml:space="preserve">Annual ISSN Italy Conference </w:t>
            </w:r>
            <w:r>
              <w:rPr>
                <w:sz w:val="28"/>
                <w:szCs w:val="28"/>
                <w:lang w:val="en-US"/>
              </w:rPr>
              <w:t>–</w:t>
            </w:r>
            <w:r w:rsidRPr="00F1733A">
              <w:rPr>
                <w:sz w:val="28"/>
                <w:szCs w:val="28"/>
                <w:lang w:val="en-US"/>
              </w:rPr>
              <w:t xml:space="preserve"> S</w:t>
            </w:r>
            <w:r>
              <w:rPr>
                <w:sz w:val="28"/>
                <w:szCs w:val="28"/>
                <w:lang w:val="en-US"/>
              </w:rPr>
              <w:t xml:space="preserve">port Nutrition International Conference – </w:t>
            </w:r>
            <w:proofErr w:type="spellStart"/>
            <w:r>
              <w:rPr>
                <w:sz w:val="28"/>
                <w:szCs w:val="28"/>
                <w:lang w:val="en-US"/>
              </w:rPr>
              <w:t>Società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Italiana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Nutrizione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Sport e </w:t>
            </w:r>
            <w:proofErr w:type="spellStart"/>
            <w:r>
              <w:rPr>
                <w:sz w:val="28"/>
                <w:szCs w:val="28"/>
                <w:lang w:val="en-US"/>
              </w:rPr>
              <w:t>benessere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- 2019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27DF" w14:textId="7907FA82" w:rsidR="00A1250E" w:rsidRPr="00F1733A" w:rsidRDefault="00F1733A" w:rsidP="00945AFC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Lettura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: Microbiota, </w:t>
            </w:r>
            <w:proofErr w:type="gramStart"/>
            <w:r>
              <w:rPr>
                <w:sz w:val="28"/>
                <w:szCs w:val="28"/>
                <w:lang w:val="en-US"/>
              </w:rPr>
              <w:t>Sport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and heart implications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2E09" w14:textId="77777777" w:rsidR="00A1250E" w:rsidRPr="00F1733A" w:rsidRDefault="00A1250E" w:rsidP="00945AFC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35C15" w:rsidRPr="007B726C" w14:paraId="020B6047" w14:textId="77777777" w:rsidTr="00A1250E">
        <w:trPr>
          <w:trHeight w:val="592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A532" w14:textId="10819FCF" w:rsidR="00B35C15" w:rsidRPr="00F1733A" w:rsidRDefault="00B35C15" w:rsidP="00945AFC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COST – Action – </w:t>
            </w:r>
            <w:proofErr w:type="spellStart"/>
            <w:r>
              <w:rPr>
                <w:sz w:val="28"/>
                <w:szCs w:val="28"/>
                <w:lang w:val="en-US"/>
              </w:rPr>
              <w:t>VascAgeNet</w:t>
            </w:r>
            <w:proofErr w:type="spellEnd"/>
            <w:r w:rsidRPr="00B35C15">
              <w:rPr>
                <w:lang w:val="en-US"/>
              </w:rPr>
              <w:t xml:space="preserve"> </w:t>
            </w:r>
            <w:r w:rsidRPr="00B35C15">
              <w:rPr>
                <w:sz w:val="28"/>
                <w:szCs w:val="28"/>
                <w:lang w:val="en-US"/>
              </w:rPr>
              <w:t>https://www.cost.eu/actions/CA18216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54EB" w14:textId="76A7C04F" w:rsidR="00B35C15" w:rsidRPr="007B726C" w:rsidRDefault="00B35C15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B726C">
              <w:rPr>
                <w:sz w:val="28"/>
                <w:szCs w:val="28"/>
              </w:rPr>
              <w:t xml:space="preserve">Partecipazione al </w:t>
            </w:r>
            <w:proofErr w:type="spellStart"/>
            <w:r w:rsidRPr="007B726C">
              <w:rPr>
                <w:sz w:val="28"/>
                <w:szCs w:val="28"/>
              </w:rPr>
              <w:t>working</w:t>
            </w:r>
            <w:proofErr w:type="spellEnd"/>
            <w:r w:rsidRPr="007B726C">
              <w:rPr>
                <w:sz w:val="28"/>
                <w:szCs w:val="28"/>
              </w:rPr>
              <w:t xml:space="preserve"> </w:t>
            </w:r>
            <w:proofErr w:type="spellStart"/>
            <w:r w:rsidRPr="007B726C">
              <w:rPr>
                <w:sz w:val="28"/>
                <w:szCs w:val="28"/>
              </w:rPr>
              <w:t>group</w:t>
            </w:r>
            <w:proofErr w:type="spellEnd"/>
            <w:r w:rsidRPr="007B726C">
              <w:rPr>
                <w:sz w:val="28"/>
                <w:szCs w:val="28"/>
              </w:rPr>
              <w:t xml:space="preserve"> 3 sugli aspetti tecnologici della ricerca sull’invecchiamento vascolare: </w:t>
            </w:r>
            <w:proofErr w:type="spellStart"/>
            <w:r w:rsidRPr="007B726C">
              <w:rPr>
                <w:sz w:val="28"/>
                <w:szCs w:val="28"/>
              </w:rPr>
              <w:t>Technological</w:t>
            </w:r>
            <w:proofErr w:type="spellEnd"/>
            <w:r w:rsidRPr="007B726C">
              <w:rPr>
                <w:sz w:val="28"/>
                <w:szCs w:val="28"/>
              </w:rPr>
              <w:t xml:space="preserve"> </w:t>
            </w:r>
            <w:proofErr w:type="spellStart"/>
            <w:r w:rsidRPr="007B726C">
              <w:rPr>
                <w:sz w:val="28"/>
                <w:szCs w:val="28"/>
              </w:rPr>
              <w:t>aspects</w:t>
            </w:r>
            <w:proofErr w:type="spellEnd"/>
            <w:r w:rsidRPr="007B726C">
              <w:rPr>
                <w:sz w:val="28"/>
                <w:szCs w:val="28"/>
              </w:rPr>
              <w:t xml:space="preserve"> – </w:t>
            </w:r>
            <w:proofErr w:type="spellStart"/>
            <w:r w:rsidRPr="007B726C">
              <w:rPr>
                <w:sz w:val="28"/>
                <w:szCs w:val="28"/>
              </w:rPr>
              <w:t>supporting</w:t>
            </w:r>
            <w:proofErr w:type="spellEnd"/>
            <w:r w:rsidRPr="007B726C">
              <w:rPr>
                <w:sz w:val="28"/>
                <w:szCs w:val="28"/>
              </w:rPr>
              <w:t xml:space="preserve"> </w:t>
            </w:r>
            <w:proofErr w:type="spellStart"/>
            <w:r w:rsidRPr="007B726C">
              <w:rPr>
                <w:sz w:val="28"/>
                <w:szCs w:val="28"/>
              </w:rPr>
              <w:t>technology</w:t>
            </w:r>
            <w:proofErr w:type="spellEnd"/>
            <w:r w:rsidRPr="007B726C">
              <w:rPr>
                <w:sz w:val="28"/>
                <w:szCs w:val="28"/>
              </w:rPr>
              <w:t xml:space="preserve"> </w:t>
            </w:r>
            <w:proofErr w:type="spellStart"/>
            <w:r w:rsidRPr="007B726C">
              <w:rPr>
                <w:sz w:val="28"/>
                <w:szCs w:val="28"/>
              </w:rPr>
              <w:t>breakthroughs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878" w14:textId="77777777" w:rsidR="00B35C15" w:rsidRPr="007B726C" w:rsidRDefault="00B35C15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A1250E" w:rsidRPr="00FE6CF6" w14:paraId="03208768" w14:textId="77777777" w:rsidTr="00BD1D4A">
        <w:trPr>
          <w:trHeight w:val="592"/>
        </w:trPr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A950" w14:textId="21AADF74" w:rsidR="00A1250E" w:rsidRPr="00A1250E" w:rsidRDefault="00A1250E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A1250E">
              <w:rPr>
                <w:b/>
                <w:sz w:val="28"/>
                <w:szCs w:val="28"/>
              </w:rPr>
              <w:t>Totale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11B7" w14:textId="77777777" w:rsidR="00A1250E" w:rsidRPr="0021533C" w:rsidRDefault="00A1250E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</w:tbl>
    <w:p w14:paraId="12A25FCE" w14:textId="77777777" w:rsidR="008F7FAD" w:rsidRDefault="008F7FAD" w:rsidP="008F7FAD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6447"/>
      </w:tblGrid>
      <w:tr w:rsidR="00A231C4" w:rsidRPr="00FE6CF6" w14:paraId="0D31E12F" w14:textId="77777777" w:rsidTr="00D90C0A">
        <w:trPr>
          <w:trHeight w:val="59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1083" w14:textId="77777777" w:rsidR="00A231C4" w:rsidRPr="00460601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460601">
              <w:rPr>
                <w:b/>
                <w:sz w:val="28"/>
                <w:szCs w:val="28"/>
              </w:rPr>
              <w:t>Commissione proposta</w:t>
            </w:r>
          </w:p>
          <w:p w14:paraId="53807803" w14:textId="77777777" w:rsidR="00A231C4" w:rsidRPr="00460601" w:rsidRDefault="00A231C4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0601">
              <w:rPr>
                <w:sz w:val="28"/>
                <w:szCs w:val="28"/>
              </w:rPr>
              <w:t xml:space="preserve">3 commissari + </w:t>
            </w:r>
          </w:p>
          <w:p w14:paraId="0288DFD6" w14:textId="77777777" w:rsidR="00A231C4" w:rsidRPr="00FE6CF6" w:rsidRDefault="00A231C4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0601">
              <w:rPr>
                <w:sz w:val="28"/>
                <w:szCs w:val="28"/>
              </w:rPr>
              <w:t>1 supplente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D8ED" w14:textId="754294AE" w:rsidR="00A231C4" w:rsidRPr="0021533C" w:rsidRDefault="0056623A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Claudio Borghi</w:t>
            </w:r>
          </w:p>
        </w:tc>
      </w:tr>
      <w:tr w:rsidR="00A231C4" w:rsidRPr="00FE6CF6" w14:paraId="4941E423" w14:textId="77777777" w:rsidTr="00D90C0A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6D77" w14:textId="77777777" w:rsidR="00A231C4" w:rsidRPr="00472D5F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3A35" w14:textId="06C25EDE" w:rsidR="00A231C4" w:rsidRPr="0021533C" w:rsidRDefault="0056623A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Prof.ssa Patrizia </w:t>
            </w:r>
            <w:proofErr w:type="spellStart"/>
            <w:r>
              <w:rPr>
                <w:sz w:val="28"/>
                <w:szCs w:val="28"/>
              </w:rPr>
              <w:t>Brigidi</w:t>
            </w:r>
            <w:proofErr w:type="spellEnd"/>
          </w:p>
        </w:tc>
      </w:tr>
      <w:tr w:rsidR="00A231C4" w:rsidRPr="00FE6CF6" w14:paraId="38452A05" w14:textId="77777777" w:rsidTr="00D90C0A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E74E" w14:textId="77777777" w:rsidR="00A231C4" w:rsidRPr="00472D5F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9E4F" w14:textId="05F6F8FE" w:rsidR="00A231C4" w:rsidRPr="0021533C" w:rsidRDefault="0056623A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Dott. Fulvio Ventura</w:t>
            </w:r>
          </w:p>
        </w:tc>
      </w:tr>
      <w:tr w:rsidR="00A231C4" w:rsidRPr="00FE6CF6" w14:paraId="4E61F104" w14:textId="77777777" w:rsidTr="00D90C0A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DC2E" w14:textId="77777777" w:rsidR="00A231C4" w:rsidRPr="00472D5F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ACCD" w14:textId="11CD6FDD" w:rsidR="00A231C4" w:rsidRPr="0021533C" w:rsidRDefault="0056623A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Dott.ssa Federica Piani</w:t>
            </w:r>
          </w:p>
        </w:tc>
      </w:tr>
    </w:tbl>
    <w:p w14:paraId="1E67F74E" w14:textId="77777777" w:rsidR="00A231C4" w:rsidRDefault="00A231C4" w:rsidP="008F7FAD">
      <w:pPr>
        <w:jc w:val="both"/>
        <w:rPr>
          <w:b/>
          <w:sz w:val="16"/>
          <w:szCs w:val="16"/>
        </w:rPr>
      </w:pPr>
    </w:p>
    <w:p w14:paraId="15871E71" w14:textId="77777777" w:rsidR="00A231C4" w:rsidRDefault="00A231C4" w:rsidP="008F7FAD">
      <w:pPr>
        <w:jc w:val="both"/>
        <w:rPr>
          <w:b/>
          <w:sz w:val="16"/>
          <w:szCs w:val="16"/>
        </w:rPr>
      </w:pPr>
    </w:p>
    <w:p w14:paraId="7BA783E1" w14:textId="77777777" w:rsidR="00A231C4" w:rsidRPr="00EC0BC6" w:rsidRDefault="00A231C4" w:rsidP="008F7FAD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1633"/>
        <w:gridCol w:w="780"/>
        <w:gridCol w:w="65"/>
        <w:gridCol w:w="848"/>
        <w:gridCol w:w="1478"/>
      </w:tblGrid>
      <w:tr w:rsidR="008F7FAD" w:rsidRPr="00F70053" w14:paraId="66D5C4A6" w14:textId="77777777" w:rsidTr="00945AFC">
        <w:tc>
          <w:tcPr>
            <w:tcW w:w="9854" w:type="dxa"/>
            <w:gridSpan w:val="6"/>
            <w:shd w:val="clear" w:color="auto" w:fill="auto"/>
            <w:vAlign w:val="center"/>
          </w:tcPr>
          <w:p w14:paraId="647B3CBB" w14:textId="77777777" w:rsidR="008F7FAD" w:rsidRPr="00D34E8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34E85">
              <w:rPr>
                <w:b/>
                <w:sz w:val="28"/>
                <w:szCs w:val="28"/>
              </w:rPr>
              <w:t>TITOLO DEL PROGETTO</w:t>
            </w:r>
          </w:p>
        </w:tc>
      </w:tr>
      <w:tr w:rsidR="008F7FAD" w:rsidRPr="007B726C" w14:paraId="5D74ED09" w14:textId="77777777" w:rsidTr="00945AFC">
        <w:tc>
          <w:tcPr>
            <w:tcW w:w="9854" w:type="dxa"/>
            <w:gridSpan w:val="6"/>
            <w:shd w:val="clear" w:color="auto" w:fill="auto"/>
          </w:tcPr>
          <w:p w14:paraId="31E5F1AB" w14:textId="06956EA4" w:rsidR="008F7FAD" w:rsidRPr="00601AA0" w:rsidRDefault="007B726C" w:rsidP="00945AFC">
            <w:pPr>
              <w:spacing w:before="60" w:after="60"/>
              <w:jc w:val="both"/>
              <w:rPr>
                <w:sz w:val="28"/>
                <w:szCs w:val="28"/>
                <w:lang w:val="en-US"/>
              </w:rPr>
            </w:pPr>
            <w:r w:rsidRPr="00B47830">
              <w:rPr>
                <w:b/>
                <w:bCs/>
                <w:sz w:val="28"/>
                <w:szCs w:val="28"/>
                <w:lang w:val="en-US"/>
              </w:rPr>
              <w:lastRenderedPageBreak/>
              <w:t xml:space="preserve">Exercise Training Influences Gut Microbiota and Cardiovascular Health through inflammation control: the </w:t>
            </w:r>
            <w:proofErr w:type="spellStart"/>
            <w:r w:rsidRPr="00B47830">
              <w:rPr>
                <w:b/>
                <w:bCs/>
                <w:sz w:val="28"/>
                <w:szCs w:val="28"/>
                <w:lang w:val="en-US"/>
              </w:rPr>
              <w:t>MicroFit</w:t>
            </w:r>
            <w:proofErr w:type="spellEnd"/>
            <w:r w:rsidRPr="00B47830">
              <w:rPr>
                <w:b/>
                <w:bCs/>
                <w:sz w:val="28"/>
                <w:szCs w:val="28"/>
                <w:lang w:val="en-US"/>
              </w:rPr>
              <w:t xml:space="preserve"> Study</w:t>
            </w:r>
          </w:p>
        </w:tc>
      </w:tr>
      <w:tr w:rsidR="008F7FAD" w:rsidRPr="00F70053" w14:paraId="2DAAE0D4" w14:textId="77777777" w:rsidTr="00945AFC">
        <w:tc>
          <w:tcPr>
            <w:tcW w:w="4927" w:type="dxa"/>
            <w:shd w:val="clear" w:color="auto" w:fill="auto"/>
            <w:vAlign w:val="center"/>
          </w:tcPr>
          <w:p w14:paraId="69B649C9" w14:textId="77777777" w:rsidR="008F7FAD" w:rsidRDefault="008F7FAD" w:rsidP="00945AFC">
            <w:pPr>
              <w:spacing w:before="60" w:after="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ASSEGNO FINANZIATO DA PROGETTO COMPETITIVO</w:t>
            </w:r>
          </w:p>
          <w:p w14:paraId="113983DB" w14:textId="77777777" w:rsidR="008F7FAD" w:rsidRPr="00F70053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(barrare la casella corrispondente)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684283F" w14:textId="77777777" w:rsidR="008F7FAD" w:rsidRPr="00F70053" w:rsidRDefault="008F7FAD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918FB">
              <w:rPr>
                <w:sz w:val="44"/>
                <w:szCs w:val="28"/>
              </w:rPr>
              <w:t>□</w:t>
            </w:r>
            <w:r>
              <w:rPr>
                <w:sz w:val="4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</w:t>
            </w:r>
          </w:p>
        </w:tc>
        <w:tc>
          <w:tcPr>
            <w:tcW w:w="1723" w:type="dxa"/>
            <w:gridSpan w:val="3"/>
            <w:shd w:val="clear" w:color="auto" w:fill="auto"/>
            <w:vAlign w:val="center"/>
          </w:tcPr>
          <w:p w14:paraId="7708E1DC" w14:textId="41305AB0" w:rsidR="008F7FAD" w:rsidRPr="00F70053" w:rsidRDefault="0056623A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Wingdings" w:hAnsi="Wingdings"/>
                <w:sz w:val="44"/>
                <w:szCs w:val="28"/>
              </w:rPr>
              <w:t>x</w:t>
            </w:r>
            <w:r w:rsidR="008F7FAD">
              <w:rPr>
                <w:sz w:val="28"/>
                <w:szCs w:val="28"/>
              </w:rPr>
              <w:t>NO</w:t>
            </w:r>
            <w:proofErr w:type="spellEnd"/>
          </w:p>
        </w:tc>
        <w:tc>
          <w:tcPr>
            <w:tcW w:w="1524" w:type="dxa"/>
            <w:shd w:val="pct10" w:color="FFFF00" w:fill="auto"/>
            <w:vAlign w:val="center"/>
          </w:tcPr>
          <w:p w14:paraId="2ACDA11F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52083">
              <w:rPr>
                <w:i/>
              </w:rPr>
              <w:t>Punti</w:t>
            </w:r>
          </w:p>
        </w:tc>
      </w:tr>
      <w:tr w:rsidR="008F7FAD" w:rsidRPr="00F70053" w14:paraId="20646E4E" w14:textId="77777777" w:rsidTr="00945AFC">
        <w:tc>
          <w:tcPr>
            <w:tcW w:w="4927" w:type="dxa"/>
            <w:shd w:val="clear" w:color="auto" w:fill="auto"/>
            <w:vAlign w:val="center"/>
          </w:tcPr>
          <w:p w14:paraId="0F7FF232" w14:textId="77777777" w:rsidR="008F7FAD" w:rsidRPr="00F70053" w:rsidRDefault="008F7FAD" w:rsidP="00945AFC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1"/>
                <w:szCs w:val="21"/>
              </w:rPr>
              <w:t xml:space="preserve">SE IL FINANZIAMENTO È COMPETITIVO L’ENTE FINANZIATORE </w:t>
            </w:r>
          </w:p>
        </w:tc>
        <w:tc>
          <w:tcPr>
            <w:tcW w:w="4927" w:type="dxa"/>
            <w:gridSpan w:val="5"/>
            <w:shd w:val="clear" w:color="auto" w:fill="auto"/>
            <w:vAlign w:val="center"/>
          </w:tcPr>
          <w:p w14:paraId="3A7B1F16" w14:textId="77777777" w:rsidR="008F7FAD" w:rsidRPr="00F70053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8F7FAD" w:rsidRPr="00F70053" w14:paraId="123C825F" w14:textId="77777777" w:rsidTr="00945AFC">
        <w:tc>
          <w:tcPr>
            <w:tcW w:w="4927" w:type="dxa"/>
            <w:shd w:val="clear" w:color="auto" w:fill="auto"/>
            <w:vAlign w:val="center"/>
          </w:tcPr>
          <w:p w14:paraId="47E85B9C" w14:textId="77777777" w:rsidR="008F7FAD" w:rsidRDefault="008F7FAD" w:rsidP="00945AFC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PROGETTO/ATTIVITÀ A SCOPO COMMERCIALE</w:t>
            </w:r>
          </w:p>
          <w:p w14:paraId="380F4F22" w14:textId="77777777" w:rsidR="008F7FAD" w:rsidRPr="005918FB" w:rsidRDefault="008F7FAD" w:rsidP="00945AFC">
            <w:pPr>
              <w:spacing w:before="60" w:after="60"/>
              <w:rPr>
                <w:i/>
                <w:sz w:val="21"/>
                <w:szCs w:val="21"/>
              </w:rPr>
            </w:pPr>
            <w:r w:rsidRPr="005918FB">
              <w:rPr>
                <w:i/>
                <w:sz w:val="21"/>
                <w:szCs w:val="21"/>
              </w:rPr>
              <w:t>(es. sperimentazione profit)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E5B8E90" w14:textId="77777777" w:rsidR="008F7FAD" w:rsidRPr="00F70053" w:rsidRDefault="008F7FAD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918FB">
              <w:rPr>
                <w:sz w:val="44"/>
                <w:szCs w:val="28"/>
              </w:rPr>
              <w:t>□</w:t>
            </w:r>
            <w:r>
              <w:rPr>
                <w:sz w:val="4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 w14:paraId="59790187" w14:textId="18BED030" w:rsidR="008F7FAD" w:rsidRPr="00F70053" w:rsidRDefault="0056623A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Wingdings" w:hAnsi="Wingdings"/>
                <w:sz w:val="44"/>
                <w:szCs w:val="28"/>
              </w:rPr>
              <w:t>x</w:t>
            </w:r>
            <w:r w:rsidR="008F7FAD">
              <w:rPr>
                <w:sz w:val="28"/>
                <w:szCs w:val="28"/>
              </w:rPr>
              <w:t>NO</w:t>
            </w:r>
            <w:proofErr w:type="spellEnd"/>
          </w:p>
        </w:tc>
      </w:tr>
      <w:tr w:rsidR="008F7FAD" w:rsidRPr="00F70053" w14:paraId="352EF1A0" w14:textId="77777777" w:rsidTr="00945AFC">
        <w:tc>
          <w:tcPr>
            <w:tcW w:w="4927" w:type="dxa"/>
            <w:shd w:val="clear" w:color="auto" w:fill="auto"/>
            <w:vAlign w:val="center"/>
          </w:tcPr>
          <w:p w14:paraId="36622053" w14:textId="77777777" w:rsidR="008F7FAD" w:rsidRPr="00F70053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140C4">
              <w:rPr>
                <w:sz w:val="21"/>
                <w:szCs w:val="21"/>
              </w:rPr>
              <w:t>CARATTERISTICHE DEL PROGETTO</w:t>
            </w:r>
            <w:r>
              <w:rPr>
                <w:sz w:val="21"/>
                <w:szCs w:val="21"/>
              </w:rPr>
              <w:t xml:space="preserve"> (</w:t>
            </w:r>
            <w:r w:rsidRPr="002E1FF5">
              <w:rPr>
                <w:i/>
                <w:sz w:val="21"/>
                <w:szCs w:val="21"/>
              </w:rPr>
              <w:t>biomedico/osservazionale/clinico-interventistico/multidisciplinare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4927" w:type="dxa"/>
            <w:gridSpan w:val="5"/>
            <w:shd w:val="clear" w:color="auto" w:fill="auto"/>
            <w:vAlign w:val="center"/>
          </w:tcPr>
          <w:p w14:paraId="6D7ED143" w14:textId="4331B3A4" w:rsidR="008F7FAD" w:rsidRPr="00F70053" w:rsidRDefault="0056623A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Clinico-interventistico</w:t>
            </w:r>
          </w:p>
        </w:tc>
      </w:tr>
      <w:tr w:rsidR="008F7FAD" w:rsidRPr="00F70053" w14:paraId="2482DE08" w14:textId="77777777" w:rsidTr="00945AFC">
        <w:tc>
          <w:tcPr>
            <w:tcW w:w="4927" w:type="dxa"/>
            <w:shd w:val="clear" w:color="auto" w:fill="auto"/>
            <w:vAlign w:val="center"/>
          </w:tcPr>
          <w:p w14:paraId="64F84B62" w14:textId="77777777" w:rsidR="008F7FAD" w:rsidRPr="002140C4" w:rsidRDefault="008F7FAD" w:rsidP="00945AFC">
            <w:pPr>
              <w:spacing w:before="60" w:after="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STATO DI APPROVAZIONE DEL PROGETTO DA PARTE DEL COMITATO ETICO (</w:t>
            </w:r>
            <w:r w:rsidRPr="002140C4">
              <w:rPr>
                <w:i/>
                <w:sz w:val="21"/>
                <w:szCs w:val="21"/>
              </w:rPr>
              <w:t>se necessario per il tipo di studio</w:t>
            </w:r>
            <w:r>
              <w:rPr>
                <w:i/>
                <w:sz w:val="21"/>
                <w:szCs w:val="21"/>
              </w:rPr>
              <w:t xml:space="preserve"> barrare o evidenziare la casella corrispondente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28" w:type="dxa"/>
            <w:gridSpan w:val="3"/>
            <w:shd w:val="clear" w:color="auto" w:fill="auto"/>
            <w:vAlign w:val="center"/>
          </w:tcPr>
          <w:p w14:paraId="2470DAA6" w14:textId="06F8D412" w:rsidR="008F7FAD" w:rsidRPr="00F70053" w:rsidRDefault="0056623A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Wingdings" w:hAnsi="Wingdings"/>
                <w:sz w:val="44"/>
                <w:szCs w:val="28"/>
              </w:rPr>
              <w:t>x</w:t>
            </w:r>
            <w:r w:rsidR="008F7FAD">
              <w:rPr>
                <w:sz w:val="28"/>
                <w:szCs w:val="28"/>
              </w:rPr>
              <w:t>Ottenuto</w:t>
            </w:r>
            <w:proofErr w:type="spellEnd"/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1880E94D" w14:textId="77777777" w:rsidR="008F7FAD" w:rsidRPr="00F70053" w:rsidRDefault="008F7FAD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918FB">
              <w:rPr>
                <w:sz w:val="44"/>
                <w:szCs w:val="28"/>
              </w:rPr>
              <w:t>□</w:t>
            </w:r>
            <w:r>
              <w:rPr>
                <w:sz w:val="4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 ottenere</w:t>
            </w:r>
          </w:p>
        </w:tc>
      </w:tr>
      <w:tr w:rsidR="008F7FAD" w:rsidRPr="002E1FF5" w14:paraId="13D803E3" w14:textId="77777777" w:rsidTr="00945AFC">
        <w:tc>
          <w:tcPr>
            <w:tcW w:w="8330" w:type="dxa"/>
            <w:gridSpan w:val="5"/>
            <w:shd w:val="clear" w:color="auto" w:fill="auto"/>
            <w:vAlign w:val="center"/>
          </w:tcPr>
          <w:p w14:paraId="4B8C8F14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DESCRIZIONE</w:t>
            </w:r>
            <w:r w:rsidRPr="00D34E85">
              <w:rPr>
                <w:b/>
                <w:sz w:val="28"/>
                <w:szCs w:val="28"/>
              </w:rPr>
              <w:t xml:space="preserve"> DEL PROGETTO</w:t>
            </w:r>
            <w:r w:rsidRPr="00F70053">
              <w:rPr>
                <w:sz w:val="28"/>
                <w:szCs w:val="28"/>
              </w:rPr>
              <w:t xml:space="preserve"> </w:t>
            </w:r>
            <w:r w:rsidRPr="00F70053"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max</w:t>
            </w:r>
            <w:proofErr w:type="spellEnd"/>
            <w:r>
              <w:rPr>
                <w:i/>
                <w:sz w:val="20"/>
                <w:szCs w:val="20"/>
              </w:rPr>
              <w:t xml:space="preserve"> 8</w:t>
            </w:r>
            <w:r w:rsidRPr="00F70053">
              <w:rPr>
                <w:i/>
                <w:sz w:val="20"/>
                <w:szCs w:val="20"/>
              </w:rPr>
              <w:t>00 parole)</w:t>
            </w:r>
          </w:p>
        </w:tc>
        <w:tc>
          <w:tcPr>
            <w:tcW w:w="1524" w:type="dxa"/>
            <w:shd w:val="pct10" w:color="FFFF00" w:fill="auto"/>
            <w:vAlign w:val="center"/>
          </w:tcPr>
          <w:p w14:paraId="6A59D89E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52083">
              <w:rPr>
                <w:i/>
              </w:rPr>
              <w:t>Punti</w:t>
            </w:r>
          </w:p>
        </w:tc>
      </w:tr>
      <w:tr w:rsidR="008F7FAD" w:rsidRPr="00A4732A" w14:paraId="1C1182E8" w14:textId="77777777" w:rsidTr="00945AFC">
        <w:trPr>
          <w:trHeight w:val="4178"/>
        </w:trPr>
        <w:tc>
          <w:tcPr>
            <w:tcW w:w="9854" w:type="dxa"/>
            <w:gridSpan w:val="6"/>
            <w:shd w:val="clear" w:color="auto" w:fill="auto"/>
          </w:tcPr>
          <w:p w14:paraId="1C0C676F" w14:textId="77777777" w:rsidR="008F7FAD" w:rsidRDefault="003734D3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  <w:r w:rsidRPr="003734D3">
              <w:rPr>
                <w:b/>
                <w:sz w:val="21"/>
                <w:szCs w:val="21"/>
              </w:rPr>
              <w:t>(</w:t>
            </w:r>
            <w:proofErr w:type="gramStart"/>
            <w:r w:rsidRPr="003734D3">
              <w:rPr>
                <w:b/>
                <w:sz w:val="21"/>
                <w:szCs w:val="21"/>
              </w:rPr>
              <w:t>1)obiettivi</w:t>
            </w:r>
            <w:proofErr w:type="gramEnd"/>
            <w:r w:rsidRPr="003734D3">
              <w:rPr>
                <w:b/>
                <w:sz w:val="21"/>
                <w:szCs w:val="21"/>
              </w:rPr>
              <w:t>, (2)materiali e metodi, (3) risultati/impatto attesi, (4) attività formativa e (5) di ricerca dell’assegnista</w:t>
            </w:r>
          </w:p>
          <w:p w14:paraId="4CDD9C54" w14:textId="0B4CE275" w:rsidR="00FD1383" w:rsidRPr="007A6FAC" w:rsidRDefault="00FD1383" w:rsidP="00FD138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(1) Obiettivi</w:t>
            </w:r>
          </w:p>
          <w:p w14:paraId="6CC32C76" w14:textId="77777777" w:rsidR="00FD1383" w:rsidRPr="00E361E5" w:rsidRDefault="00FD1383" w:rsidP="00FD1383">
            <w:r w:rsidRPr="00E361E5">
              <w:t>Il tratto gastrointestinale umano ospita una vasta gamma di microrganismi che influenzano in modo significativo la nutrizione dell'ospite e molte funzioni metaboliche</w:t>
            </w:r>
            <w:r>
              <w:t xml:space="preserve">. </w:t>
            </w:r>
            <w:r w:rsidRPr="00E361E5">
              <w:t>L'esercizio fisico può determinare cambiamenti nella composizione microbica intestinale qualitativa e quantitativa</w:t>
            </w:r>
            <w:r>
              <w:t>,</w:t>
            </w:r>
            <w:r w:rsidRPr="00E361E5">
              <w:t xml:space="preserve"> con possibili benefici per l'ospite. L'ipertensione</w:t>
            </w:r>
            <w:r>
              <w:t xml:space="preserve"> arteriosa, le alterazioni dell’emodinamica centrale (pressione arteriosa aortica, rigidità aortica)</w:t>
            </w:r>
            <w:r w:rsidRPr="00E361E5">
              <w:t xml:space="preserve"> </w:t>
            </w:r>
            <w:r>
              <w:t>e della funzione endoteliale sono fra i maggiori fattori di rischio cardiovascolare. In particolare la rigidità arteriosa è considerata un marker di rischio di eventi cardiovascolari, capace di precedere e predire l’insorgenza di ipertensione e di danno d’organo. Tali fattori sono</w:t>
            </w:r>
            <w:r w:rsidRPr="00E361E5">
              <w:t xml:space="preserve"> </w:t>
            </w:r>
            <w:r>
              <w:t xml:space="preserve">anche esacerbati in caso di </w:t>
            </w:r>
            <w:proofErr w:type="spellStart"/>
            <w:r w:rsidRPr="00E361E5">
              <w:t>disbiosi</w:t>
            </w:r>
            <w:proofErr w:type="spellEnd"/>
            <w:r w:rsidRPr="00E361E5">
              <w:t xml:space="preserve"> intestinale</w:t>
            </w:r>
            <w:r>
              <w:t xml:space="preserve"> e alcuni metaboliti del </w:t>
            </w:r>
            <w:proofErr w:type="spellStart"/>
            <w:r>
              <w:t>microbiota</w:t>
            </w:r>
            <w:proofErr w:type="spellEnd"/>
            <w:r>
              <w:t xml:space="preserve"> intestinale sono stati associati alla regolazione del sistema renina </w:t>
            </w:r>
            <w:proofErr w:type="spellStart"/>
            <w:r>
              <w:t>angiotensina</w:t>
            </w:r>
            <w:proofErr w:type="spellEnd"/>
            <w:r>
              <w:t xml:space="preserve"> aldosterone, responsabile del controllo pressorio. Anche</w:t>
            </w:r>
            <w:r w:rsidRPr="00E361E5">
              <w:t xml:space="preserve"> </w:t>
            </w:r>
            <w:r>
              <w:t>l</w:t>
            </w:r>
            <w:r w:rsidRPr="00E361E5">
              <w:t xml:space="preserve">'infiammazione sistemica e locale ha dimostrato di essere correlata all'ipertensione </w:t>
            </w:r>
            <w:r>
              <w:t>arteriosa ed alterazione dell’emodinamica centrale, con sviluppo di precoce invecchiamento vascolare</w:t>
            </w:r>
            <w:r w:rsidRPr="00E361E5">
              <w:t xml:space="preserve">. L'allenamento fisico è noto per produrre modificazioni </w:t>
            </w:r>
            <w:proofErr w:type="spellStart"/>
            <w:r w:rsidRPr="00E361E5">
              <w:t>cardiometaboliche</w:t>
            </w:r>
            <w:proofErr w:type="spellEnd"/>
            <w:r w:rsidRPr="00E361E5">
              <w:t xml:space="preserve"> positive, dalla riduzione della pressione </w:t>
            </w:r>
            <w:r>
              <w:t>arteriosa</w:t>
            </w:r>
            <w:r w:rsidRPr="00E361E5">
              <w:t xml:space="preserve"> e della rigidità arteriosa al miglioramento del profilo del colesterolo</w:t>
            </w:r>
            <w:r>
              <w:t xml:space="preserve"> e della funzione endoteliale</w:t>
            </w:r>
            <w:r w:rsidRPr="00E361E5">
              <w:t xml:space="preserve">. </w:t>
            </w:r>
            <w:r>
              <w:t>Tuttavia, l</w:t>
            </w:r>
            <w:r w:rsidRPr="00E361E5">
              <w:t xml:space="preserve">a relazione tra l'effetto dell'allenamento fisico e la modifica del </w:t>
            </w:r>
            <w:proofErr w:type="spellStart"/>
            <w:r w:rsidRPr="00E361E5">
              <w:t>microbiota</w:t>
            </w:r>
            <w:proofErr w:type="spellEnd"/>
            <w:r w:rsidRPr="00E361E5">
              <w:t xml:space="preserve"> intestinale nei pazienti ipertesi, così come le informazioni </w:t>
            </w:r>
            <w:r>
              <w:t>sul ruolo dell’</w:t>
            </w:r>
            <w:r w:rsidRPr="00E361E5">
              <w:t>infiammazione sono ancora carenti in letteratura.</w:t>
            </w:r>
            <w:r>
              <w:t xml:space="preserve"> D’altra parte, se è noto l’effetto infiammatorio sistemico della </w:t>
            </w:r>
            <w:proofErr w:type="spellStart"/>
            <w:r>
              <w:t>disbiosi</w:t>
            </w:r>
            <w:proofErr w:type="spellEnd"/>
            <w:r>
              <w:t xml:space="preserve"> intestinale, non è chiaro come questo influenzi l’emodinamica centrale, in particolare rigidità arteriosa.</w:t>
            </w:r>
          </w:p>
          <w:p w14:paraId="168DA4EE" w14:textId="77777777" w:rsidR="00FD1383" w:rsidRPr="00DB1934" w:rsidRDefault="00FD1383" w:rsidP="00FD1383">
            <w:pPr>
              <w:pStyle w:val="NormaleWeb"/>
              <w:spacing w:before="0" w:beforeAutospacing="0" w:after="120" w:afterAutospacing="0"/>
              <w:rPr>
                <w:b/>
                <w:sz w:val="21"/>
                <w:szCs w:val="21"/>
              </w:rPr>
            </w:pPr>
          </w:p>
          <w:p w14:paraId="52FCEDE4" w14:textId="77777777" w:rsidR="00FD1383" w:rsidRPr="00FD1383" w:rsidRDefault="00FD1383" w:rsidP="00FD1383">
            <w:pPr>
              <w:rPr>
                <w:i/>
                <w:iCs/>
              </w:rPr>
            </w:pPr>
            <w:r w:rsidRPr="00FD1383">
              <w:rPr>
                <w:i/>
                <w:iCs/>
              </w:rPr>
              <w:t>Obiettivo primario</w:t>
            </w:r>
          </w:p>
          <w:p w14:paraId="4C3F1CD8" w14:textId="77777777" w:rsidR="00FD1383" w:rsidRDefault="00FD1383" w:rsidP="00FD1383">
            <w:r w:rsidRPr="007A6FAC">
              <w:lastRenderedPageBreak/>
              <w:t xml:space="preserve">Verificare l’ipotesi che, in pazienti ipertesi in prevenzione primaria, i benefici dell’esercizio fisico sulla salute cardiovascolare sono associati con cambiamenti della composizione del </w:t>
            </w:r>
            <w:proofErr w:type="spellStart"/>
            <w:r w:rsidRPr="007A6FAC">
              <w:t>microbiota</w:t>
            </w:r>
            <w:proofErr w:type="spellEnd"/>
            <w:r w:rsidRPr="007A6FAC">
              <w:t xml:space="preserve"> intestinale verso un profilo eubiotico.</w:t>
            </w:r>
          </w:p>
          <w:p w14:paraId="2C425C38" w14:textId="77777777" w:rsidR="00FD1383" w:rsidRDefault="00FD1383" w:rsidP="00FD1383"/>
          <w:p w14:paraId="08D88A58" w14:textId="77777777" w:rsidR="00FD1383" w:rsidRPr="00FD1383" w:rsidRDefault="00FD1383" w:rsidP="00FD1383">
            <w:pPr>
              <w:rPr>
                <w:i/>
                <w:iCs/>
              </w:rPr>
            </w:pPr>
            <w:r w:rsidRPr="00FD1383">
              <w:rPr>
                <w:i/>
                <w:iCs/>
              </w:rPr>
              <w:t>Obiettivi secondari</w:t>
            </w:r>
          </w:p>
          <w:p w14:paraId="763FF5B5" w14:textId="77777777" w:rsidR="00FD1383" w:rsidRPr="007A6FAC" w:rsidRDefault="00FD1383" w:rsidP="00FD1383">
            <w:pPr>
              <w:pStyle w:val="Paragrafoelenco"/>
              <w:numPr>
                <w:ilvl w:val="0"/>
                <w:numId w:val="13"/>
              </w:numPr>
            </w:pPr>
            <w:r w:rsidRPr="007A6FAC">
              <w:t xml:space="preserve">Verificare le modifiche della composizione del </w:t>
            </w:r>
            <w:proofErr w:type="spellStart"/>
            <w:r w:rsidRPr="007A6FAC">
              <w:t>microbiota</w:t>
            </w:r>
            <w:proofErr w:type="spellEnd"/>
            <w:r w:rsidRPr="007A6FAC">
              <w:t xml:space="preserve"> intestinale nei partecipanti, a seguito della somministrazione dell’esercizio fisico, ed identificare </w:t>
            </w:r>
            <w:proofErr w:type="spellStart"/>
            <w:r w:rsidRPr="007A6FAC">
              <w:t>patterns</w:t>
            </w:r>
            <w:proofErr w:type="spellEnd"/>
            <w:r w:rsidRPr="007A6FAC">
              <w:t xml:space="preserve"> variabili o fissi del </w:t>
            </w:r>
            <w:proofErr w:type="spellStart"/>
            <w:r w:rsidRPr="007A6FAC">
              <w:t>microbiota</w:t>
            </w:r>
            <w:proofErr w:type="spellEnd"/>
            <w:r w:rsidRPr="007A6FAC">
              <w:t xml:space="preserve"> associati alle componenti dell’emodinamica centrale.</w:t>
            </w:r>
          </w:p>
          <w:p w14:paraId="0EC2133F" w14:textId="77777777" w:rsidR="00FD1383" w:rsidRPr="007A6FAC" w:rsidRDefault="00FD1383" w:rsidP="00FD1383">
            <w:pPr>
              <w:pStyle w:val="Paragrafoelenco"/>
              <w:numPr>
                <w:ilvl w:val="0"/>
                <w:numId w:val="13"/>
              </w:numPr>
            </w:pPr>
            <w:r w:rsidRPr="007A6FAC">
              <w:t xml:space="preserve">Studiare la relazione tra infiammazione sistemica e le modifiche nella composizione/funzionalità del </w:t>
            </w:r>
            <w:proofErr w:type="spellStart"/>
            <w:r w:rsidRPr="007A6FAC">
              <w:t>microbiota</w:t>
            </w:r>
            <w:proofErr w:type="spellEnd"/>
            <w:r w:rsidRPr="007A6FAC">
              <w:t>.</w:t>
            </w:r>
          </w:p>
          <w:p w14:paraId="46692058" w14:textId="77777777" w:rsidR="00FD1383" w:rsidRPr="007A6FAC" w:rsidRDefault="00FD1383" w:rsidP="00FD1383">
            <w:pPr>
              <w:pStyle w:val="Paragrafoelenco"/>
              <w:numPr>
                <w:ilvl w:val="0"/>
                <w:numId w:val="13"/>
              </w:numPr>
            </w:pPr>
            <w:r w:rsidRPr="007A6FAC">
              <w:t>Osservare il ruolo della funzione endoteliale nella regolazione dell'infiammazione dopo l’intervento, nonché la sua relazione con l'emodinamica centrale.</w:t>
            </w:r>
          </w:p>
          <w:p w14:paraId="4A0A9C3F" w14:textId="77777777" w:rsidR="00FD1383" w:rsidRPr="007A6FAC" w:rsidRDefault="00FD1383" w:rsidP="00FD1383">
            <w:pPr>
              <w:pStyle w:val="Paragrafoelenco"/>
              <w:numPr>
                <w:ilvl w:val="0"/>
                <w:numId w:val="13"/>
              </w:numPr>
            </w:pPr>
            <w:r w:rsidRPr="007A6FAC">
              <w:t xml:space="preserve">Studiare la relazione tra le variazioni di pressione arteriosa e rigidità arteriosa a seguito dell’intervento e il grado di performance fisica </w:t>
            </w:r>
            <w:proofErr w:type="spellStart"/>
            <w:r w:rsidRPr="007A6FAC">
              <w:t>pre</w:t>
            </w:r>
            <w:proofErr w:type="spellEnd"/>
            <w:r w:rsidRPr="007A6FAC">
              <w:t xml:space="preserve"> e post-intervento.</w:t>
            </w:r>
          </w:p>
          <w:p w14:paraId="1418F348" w14:textId="77777777" w:rsidR="00FD1383" w:rsidRPr="007A6FAC" w:rsidRDefault="00FD1383" w:rsidP="00FD1383">
            <w:pPr>
              <w:pStyle w:val="Paragrafoelenco"/>
              <w:numPr>
                <w:ilvl w:val="0"/>
                <w:numId w:val="13"/>
              </w:numPr>
            </w:pPr>
            <w:r w:rsidRPr="007A6FAC">
              <w:t>Valutare i cambiamenti dei parametri della forza degli arti superiori e inferiori, insieme alla capacità funzionale.</w:t>
            </w:r>
          </w:p>
          <w:p w14:paraId="1C39D532" w14:textId="77777777" w:rsidR="00FD1383" w:rsidRPr="00DB1934" w:rsidRDefault="00FD1383" w:rsidP="00FD1383">
            <w:pPr>
              <w:pStyle w:val="NormaleWeb"/>
              <w:spacing w:before="0" w:beforeAutospacing="0" w:after="120" w:afterAutospacing="0"/>
              <w:rPr>
                <w:b/>
                <w:sz w:val="21"/>
                <w:szCs w:val="21"/>
              </w:rPr>
            </w:pPr>
          </w:p>
          <w:p w14:paraId="71B48FF1" w14:textId="46AB1191" w:rsidR="00FD1383" w:rsidRPr="00AD41E0" w:rsidRDefault="00FD1383" w:rsidP="00FD138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(2) </w:t>
            </w:r>
            <w:r w:rsidRPr="00AD41E0">
              <w:rPr>
                <w:b/>
                <w:bCs/>
                <w:i/>
                <w:iCs/>
              </w:rPr>
              <w:t>Materiali e metodi</w:t>
            </w:r>
          </w:p>
          <w:p w14:paraId="3702F3E8" w14:textId="77777777" w:rsidR="00FD1383" w:rsidRPr="00F732BE" w:rsidRDefault="00FD1383" w:rsidP="00FD1383">
            <w:r w:rsidRPr="00F732BE">
              <w:t xml:space="preserve">Studio pilota, esplorativo, monocentrico, clinico, interventistico senza farmaco, no profit, con randomizzazione a tre bracci di intervento, e parziale doppio cieco. Lo studio è parzialmente finanziato da </w:t>
            </w:r>
            <w:proofErr w:type="spellStart"/>
            <w:r w:rsidRPr="00F732BE">
              <w:t>Actial</w:t>
            </w:r>
            <w:proofErr w:type="spellEnd"/>
            <w:r w:rsidRPr="00F732BE">
              <w:t xml:space="preserve"> Farmaceutica </w:t>
            </w:r>
            <w:proofErr w:type="spellStart"/>
            <w:r w:rsidRPr="00F732BE">
              <w:t>Srl</w:t>
            </w:r>
            <w:proofErr w:type="spellEnd"/>
            <w:r w:rsidRPr="00F732BE">
              <w:t>, che provvederà anche alla fornitura di prodotto gratuitamente, ma non avrà accesso ai dati.</w:t>
            </w:r>
          </w:p>
          <w:p w14:paraId="0753DFBB" w14:textId="77777777" w:rsidR="00FD1383" w:rsidRPr="00F732BE" w:rsidRDefault="00FD1383" w:rsidP="00FD1383">
            <w:r w:rsidRPr="00F732BE">
              <w:t>I pazienti verranno arruolati presso la U.O. Medicina Interna Cardiovascolare – Borghi, per un periodo di 6 mesi. L’intervento durerà 3 mesi. La durata dello studio per ogni partecipante sarà di 9 mesi. La durata totale dello studio, considerando le analisi dei dati e la pubblicazione dei risultati sarà di 36 mesi.</w:t>
            </w:r>
          </w:p>
          <w:p w14:paraId="37BAB13F" w14:textId="77777777" w:rsidR="00FD1383" w:rsidRDefault="00FD1383" w:rsidP="00FD1383">
            <w:r w:rsidRPr="00F732BE">
              <w:t>I pazienti inclusi verranno randomizzati a uno dei bracci di intervento. Gli investigatori verranno mantenuti all’oscuro della sequenza di allocazione per il braccio 2 e 3. La randomizzazione sarà del tipo 1:1:1 e stratificata per il sesso.</w:t>
            </w:r>
          </w:p>
          <w:p w14:paraId="102E8D17" w14:textId="77777777" w:rsidR="00FD1383" w:rsidRDefault="00FD1383" w:rsidP="00FD1383"/>
          <w:p w14:paraId="64E75E9B" w14:textId="77777777" w:rsidR="00FD1383" w:rsidRPr="00FD1383" w:rsidRDefault="00FD1383" w:rsidP="00FD1383">
            <w:pPr>
              <w:rPr>
                <w:i/>
                <w:iCs/>
              </w:rPr>
            </w:pPr>
            <w:r w:rsidRPr="00FD1383">
              <w:rPr>
                <w:i/>
                <w:iCs/>
              </w:rPr>
              <w:t>Intervento:</w:t>
            </w:r>
          </w:p>
          <w:p w14:paraId="1B254371" w14:textId="77777777" w:rsidR="00FD1383" w:rsidRPr="00F732BE" w:rsidRDefault="00FD1383" w:rsidP="00FD1383">
            <w:pPr>
              <w:pStyle w:val="Paragrafoelenco"/>
              <w:numPr>
                <w:ilvl w:val="0"/>
                <w:numId w:val="14"/>
              </w:numPr>
            </w:pPr>
            <w:r w:rsidRPr="00F732BE">
              <w:t>Esercizio fisico guidato da personal trainer</w:t>
            </w:r>
          </w:p>
          <w:p w14:paraId="7F990570" w14:textId="77777777" w:rsidR="00FD1383" w:rsidRPr="00F732BE" w:rsidRDefault="00FD1383" w:rsidP="00FD1383">
            <w:pPr>
              <w:pStyle w:val="Paragrafoelenco"/>
              <w:numPr>
                <w:ilvl w:val="0"/>
                <w:numId w:val="14"/>
              </w:numPr>
            </w:pPr>
            <w:r w:rsidRPr="00F732BE">
              <w:t>assunzione di probiotico</w:t>
            </w:r>
          </w:p>
          <w:p w14:paraId="2C728D27" w14:textId="77777777" w:rsidR="00FD1383" w:rsidRPr="00F732BE" w:rsidRDefault="00FD1383" w:rsidP="00FD1383">
            <w:pPr>
              <w:pStyle w:val="Paragrafoelenco"/>
              <w:numPr>
                <w:ilvl w:val="0"/>
                <w:numId w:val="14"/>
              </w:numPr>
            </w:pPr>
            <w:r w:rsidRPr="00F732BE">
              <w:t>placebo</w:t>
            </w:r>
          </w:p>
          <w:p w14:paraId="419DE78F" w14:textId="77777777" w:rsidR="00FD1383" w:rsidRPr="00F732BE" w:rsidRDefault="00FD1383" w:rsidP="00FD1383">
            <w:r w:rsidRPr="00F732BE">
              <w:t>Braccio 2 e 3 in doppio cieco.</w:t>
            </w:r>
          </w:p>
          <w:p w14:paraId="61C94358" w14:textId="77777777" w:rsidR="00FD1383" w:rsidRDefault="00FD1383" w:rsidP="00FD1383">
            <w:r w:rsidRPr="00F732BE">
              <w:t>Studio pilota. Sulla base degli studi preesistenti e della capacità di arruolamento, la dimensione campionaria sarà di 75 pazienti, 25 per braccio.</w:t>
            </w:r>
          </w:p>
          <w:p w14:paraId="0129847A" w14:textId="77777777" w:rsidR="00FD1383" w:rsidRDefault="00FD1383" w:rsidP="00FD1383"/>
          <w:p w14:paraId="30CBF950" w14:textId="77777777" w:rsidR="00FD1383" w:rsidRPr="00FD1383" w:rsidRDefault="00FD1383" w:rsidP="00FD1383">
            <w:pPr>
              <w:rPr>
                <w:i/>
                <w:iCs/>
              </w:rPr>
            </w:pPr>
            <w:r w:rsidRPr="00FD1383">
              <w:rPr>
                <w:i/>
                <w:iCs/>
              </w:rPr>
              <w:t>Criteri di inclusione</w:t>
            </w:r>
          </w:p>
          <w:p w14:paraId="1C28465C" w14:textId="77777777" w:rsidR="00FD1383" w:rsidRPr="00FA0032" w:rsidRDefault="00FD1383" w:rsidP="00FD1383">
            <w:pPr>
              <w:pStyle w:val="Paragrafoelenco"/>
              <w:numPr>
                <w:ilvl w:val="0"/>
                <w:numId w:val="15"/>
              </w:numPr>
            </w:pPr>
            <w:r w:rsidRPr="00FA0032">
              <w:t>ipertensione arteriosa;</w:t>
            </w:r>
          </w:p>
          <w:p w14:paraId="502003A9" w14:textId="77777777" w:rsidR="00FD1383" w:rsidRPr="00FA0032" w:rsidRDefault="00FD1383" w:rsidP="00FD1383">
            <w:pPr>
              <w:pStyle w:val="Paragrafoelenco"/>
              <w:numPr>
                <w:ilvl w:val="0"/>
                <w:numId w:val="15"/>
              </w:numPr>
            </w:pPr>
            <w:r w:rsidRPr="00FA0032">
              <w:t xml:space="preserve">Età compresa fra 40 e 65 anni; </w:t>
            </w:r>
          </w:p>
          <w:p w14:paraId="7739507B" w14:textId="77777777" w:rsidR="00FD1383" w:rsidRPr="00FA0032" w:rsidRDefault="00FD1383" w:rsidP="00FD1383">
            <w:pPr>
              <w:pStyle w:val="Paragrafoelenco"/>
              <w:numPr>
                <w:ilvl w:val="0"/>
                <w:numId w:val="15"/>
              </w:numPr>
            </w:pPr>
            <w:r w:rsidRPr="00FA0032">
              <w:t>Comprensione della lingua italiana scritta e parlata;</w:t>
            </w:r>
          </w:p>
          <w:p w14:paraId="6CD17E5C" w14:textId="77777777" w:rsidR="00FD1383" w:rsidRDefault="00FD1383" w:rsidP="00FD1383">
            <w:pPr>
              <w:pStyle w:val="Paragrafoelenco"/>
              <w:numPr>
                <w:ilvl w:val="0"/>
                <w:numId w:val="15"/>
              </w:numPr>
            </w:pPr>
            <w:r w:rsidRPr="00FA0032">
              <w:t>Volontà di firmare il consenso informato.</w:t>
            </w:r>
          </w:p>
          <w:p w14:paraId="3BE97D0B" w14:textId="77777777" w:rsidR="00FD1383" w:rsidRPr="00FA0032" w:rsidRDefault="00FD1383" w:rsidP="00FD1383"/>
          <w:p w14:paraId="076EDEF3" w14:textId="77777777" w:rsidR="00FD1383" w:rsidRPr="00FD1383" w:rsidRDefault="00FD1383" w:rsidP="00FD1383">
            <w:pPr>
              <w:rPr>
                <w:i/>
                <w:iCs/>
              </w:rPr>
            </w:pPr>
            <w:r w:rsidRPr="00FD1383">
              <w:rPr>
                <w:i/>
                <w:iCs/>
              </w:rPr>
              <w:t>Criteri di esclusione</w:t>
            </w:r>
          </w:p>
          <w:p w14:paraId="436BBC7C" w14:textId="77777777" w:rsidR="00FD1383" w:rsidRPr="00FA0032" w:rsidRDefault="00FD1383" w:rsidP="00FD1383">
            <w:pPr>
              <w:pStyle w:val="Paragrafoelenco"/>
              <w:numPr>
                <w:ilvl w:val="0"/>
                <w:numId w:val="16"/>
              </w:numPr>
            </w:pPr>
            <w:r w:rsidRPr="00FA0032">
              <w:lastRenderedPageBreak/>
              <w:t>Fibrillazione atriale;</w:t>
            </w:r>
          </w:p>
          <w:p w14:paraId="172AC155" w14:textId="77777777" w:rsidR="00FD1383" w:rsidRPr="00FA0032" w:rsidRDefault="00FD1383" w:rsidP="00FD1383">
            <w:pPr>
              <w:pStyle w:val="Paragrafoelenco"/>
              <w:numPr>
                <w:ilvl w:val="0"/>
                <w:numId w:val="16"/>
              </w:numPr>
            </w:pPr>
            <w:r w:rsidRPr="00FA0032">
              <w:t>Diabete mellito (tipo 1 e 2);</w:t>
            </w:r>
          </w:p>
          <w:p w14:paraId="5E479D03" w14:textId="77777777" w:rsidR="00FD1383" w:rsidRPr="00FA0032" w:rsidRDefault="00FD1383" w:rsidP="00FD1383">
            <w:pPr>
              <w:pStyle w:val="Paragrafoelenco"/>
              <w:numPr>
                <w:ilvl w:val="0"/>
                <w:numId w:val="16"/>
              </w:numPr>
            </w:pPr>
            <w:r w:rsidRPr="00FA0032">
              <w:t>Malattia tumorale attiva;</w:t>
            </w:r>
          </w:p>
          <w:p w14:paraId="7C5F72B3" w14:textId="77777777" w:rsidR="00FD1383" w:rsidRPr="00FA0032" w:rsidRDefault="00FD1383" w:rsidP="00FD1383">
            <w:pPr>
              <w:pStyle w:val="Paragrafoelenco"/>
              <w:numPr>
                <w:ilvl w:val="0"/>
                <w:numId w:val="16"/>
              </w:numPr>
            </w:pPr>
            <w:r w:rsidRPr="00FA0032">
              <w:t>Malattie infiammatorie intestinali;</w:t>
            </w:r>
          </w:p>
          <w:p w14:paraId="74C02B78" w14:textId="77777777" w:rsidR="00FD1383" w:rsidRPr="00FA0032" w:rsidRDefault="00FD1383" w:rsidP="00FD1383">
            <w:pPr>
              <w:pStyle w:val="Paragrafoelenco"/>
              <w:numPr>
                <w:ilvl w:val="0"/>
                <w:numId w:val="16"/>
              </w:numPr>
            </w:pPr>
            <w:r w:rsidRPr="00FA0032">
              <w:t>Scompenso cardiaco avanzato (classe NYHA III o IV);</w:t>
            </w:r>
          </w:p>
          <w:p w14:paraId="0B5090E9" w14:textId="77777777" w:rsidR="00FD1383" w:rsidRPr="00FA0032" w:rsidRDefault="00FD1383" w:rsidP="00FD1383">
            <w:pPr>
              <w:pStyle w:val="Paragrafoelenco"/>
              <w:numPr>
                <w:ilvl w:val="0"/>
                <w:numId w:val="16"/>
              </w:numPr>
            </w:pPr>
            <w:r w:rsidRPr="00FA0032">
              <w:t>Recente trattamento antibiotico o probiotico nel mese precedente;</w:t>
            </w:r>
          </w:p>
          <w:p w14:paraId="2CD3E6EE" w14:textId="77777777" w:rsidR="00FD1383" w:rsidRPr="00FA0032" w:rsidRDefault="00FD1383" w:rsidP="00FD1383">
            <w:pPr>
              <w:pStyle w:val="Paragrafoelenco"/>
              <w:numPr>
                <w:ilvl w:val="0"/>
                <w:numId w:val="16"/>
              </w:numPr>
            </w:pPr>
            <w:r w:rsidRPr="00FA0032">
              <w:t>Recente infarto miocardico o ospedalizzazione per qualsiasi causa negli ultimi 6 mesi;</w:t>
            </w:r>
          </w:p>
          <w:p w14:paraId="584EF959" w14:textId="77777777" w:rsidR="00FD1383" w:rsidRPr="00FA0032" w:rsidRDefault="00FD1383" w:rsidP="00FD1383">
            <w:pPr>
              <w:pStyle w:val="Paragrafoelenco"/>
              <w:numPr>
                <w:ilvl w:val="0"/>
                <w:numId w:val="16"/>
              </w:numPr>
            </w:pPr>
            <w:r w:rsidRPr="00FA0032">
              <w:t>Condizioni cliniche che a giudizio dei medici controindichino l’esercizio fisico ad elevata intensità;</w:t>
            </w:r>
          </w:p>
          <w:p w14:paraId="68C0B0B5" w14:textId="77777777" w:rsidR="00FD1383" w:rsidRPr="00FA0032" w:rsidRDefault="00FD1383" w:rsidP="00FD1383">
            <w:pPr>
              <w:pStyle w:val="Paragrafoelenco"/>
              <w:numPr>
                <w:ilvl w:val="0"/>
                <w:numId w:val="16"/>
              </w:numPr>
            </w:pPr>
            <w:r w:rsidRPr="00FA0032">
              <w:t>Malattie polmonari che richiedano ossigenoterapia;</w:t>
            </w:r>
          </w:p>
          <w:p w14:paraId="434806BD" w14:textId="77777777" w:rsidR="00FD1383" w:rsidRPr="00FA0032" w:rsidRDefault="00FD1383" w:rsidP="00FD1383">
            <w:pPr>
              <w:pStyle w:val="Paragrafoelenco"/>
              <w:numPr>
                <w:ilvl w:val="0"/>
                <w:numId w:val="16"/>
              </w:numPr>
            </w:pPr>
            <w:r w:rsidRPr="00FA0032">
              <w:t>Alterazioni neurologiche rilevanti che compromettano le funzioni cognitive o motorie;</w:t>
            </w:r>
          </w:p>
          <w:p w14:paraId="3D376B95" w14:textId="77777777" w:rsidR="00FD1383" w:rsidRPr="00FA0032" w:rsidRDefault="00FD1383" w:rsidP="00FD1383">
            <w:pPr>
              <w:pStyle w:val="Paragrafoelenco"/>
              <w:numPr>
                <w:ilvl w:val="0"/>
                <w:numId w:val="16"/>
              </w:numPr>
            </w:pPr>
            <w:r w:rsidRPr="00FA0032">
              <w:t>Sindrome depressiva severa;</w:t>
            </w:r>
          </w:p>
          <w:p w14:paraId="122714B0" w14:textId="77777777" w:rsidR="00FD1383" w:rsidRPr="00FA0032" w:rsidRDefault="00FD1383" w:rsidP="00FD1383">
            <w:pPr>
              <w:pStyle w:val="Paragrafoelenco"/>
              <w:numPr>
                <w:ilvl w:val="0"/>
                <w:numId w:val="16"/>
              </w:numPr>
            </w:pPr>
            <w:r w:rsidRPr="00FA0032">
              <w:t>Gravidanza.</w:t>
            </w:r>
          </w:p>
          <w:p w14:paraId="00516A73" w14:textId="77777777" w:rsidR="00FD1383" w:rsidRDefault="00FD1383" w:rsidP="00FD1383">
            <w:pPr>
              <w:pStyle w:val="NormaleWeb"/>
              <w:spacing w:before="0" w:beforeAutospacing="0" w:after="120" w:afterAutospacing="0"/>
              <w:rPr>
                <w:bCs/>
                <w:sz w:val="21"/>
                <w:szCs w:val="21"/>
              </w:rPr>
            </w:pPr>
          </w:p>
          <w:p w14:paraId="4E6D6E55" w14:textId="02F3509A" w:rsidR="00FD1383" w:rsidRPr="00F732BE" w:rsidRDefault="00FD1383" w:rsidP="00FD138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(3) </w:t>
            </w:r>
            <w:r w:rsidRPr="00F732BE">
              <w:rPr>
                <w:b/>
                <w:bCs/>
                <w:i/>
                <w:iCs/>
              </w:rPr>
              <w:t>Risultati attesi</w:t>
            </w:r>
          </w:p>
          <w:p w14:paraId="572E8154" w14:textId="77777777" w:rsidR="00FD1383" w:rsidRDefault="00FD1383" w:rsidP="00FD1383">
            <w:pPr>
              <w:rPr>
                <w:bCs/>
              </w:rPr>
            </w:pPr>
            <w:r w:rsidRPr="006D1927">
              <w:rPr>
                <w:bCs/>
              </w:rPr>
              <w:t xml:space="preserve">Ipotizziamo che i pazienti ipertesi </w:t>
            </w:r>
            <w:r>
              <w:rPr>
                <w:bCs/>
              </w:rPr>
              <w:t>in</w:t>
            </w:r>
            <w:r w:rsidRPr="006D1927">
              <w:rPr>
                <w:bCs/>
              </w:rPr>
              <w:t xml:space="preserve"> prevenzione primaria abbiano una firma microbica intestinale </w:t>
            </w:r>
            <w:proofErr w:type="spellStart"/>
            <w:r w:rsidRPr="006D1927">
              <w:rPr>
                <w:bCs/>
              </w:rPr>
              <w:t>disbiotica</w:t>
            </w:r>
            <w:proofErr w:type="spellEnd"/>
            <w:r w:rsidRPr="006D1927">
              <w:rPr>
                <w:bCs/>
              </w:rPr>
              <w:t xml:space="preserve">, che potrebbe essere un nuovo marker di invecchiamento vascolare precoce. In secondo luogo, prevediamo che l'allenamento fisico modificherà sia il </w:t>
            </w:r>
            <w:proofErr w:type="spellStart"/>
            <w:r w:rsidRPr="006D1927">
              <w:rPr>
                <w:bCs/>
              </w:rPr>
              <w:t>microbiota</w:t>
            </w:r>
            <w:proofErr w:type="spellEnd"/>
            <w:r w:rsidRPr="006D1927">
              <w:rPr>
                <w:bCs/>
              </w:rPr>
              <w:t xml:space="preserve"> intestinale che il profilo emodinamico e che esiste una relazione tra </w:t>
            </w:r>
            <w:proofErr w:type="spellStart"/>
            <w:r w:rsidRPr="006D1927">
              <w:rPr>
                <w:bCs/>
              </w:rPr>
              <w:t>microbiota</w:t>
            </w:r>
            <w:proofErr w:type="spellEnd"/>
            <w:r w:rsidRPr="006D1927">
              <w:rPr>
                <w:bCs/>
              </w:rPr>
              <w:t xml:space="preserve"> intestinale e modifiche emodinamiche centrali. In terzo luogo, ci aspettiamo che gli effetti benefici dell'allenamento fisico siano guidati da cambiamenti positivi </w:t>
            </w:r>
            <w:r>
              <w:rPr>
                <w:bCs/>
              </w:rPr>
              <w:t xml:space="preserve">dei </w:t>
            </w:r>
            <w:r w:rsidRPr="006D1927">
              <w:rPr>
                <w:bCs/>
              </w:rPr>
              <w:t>modulatori infiammatori.</w:t>
            </w:r>
          </w:p>
          <w:p w14:paraId="2E246290" w14:textId="77777777" w:rsidR="00FD1383" w:rsidRDefault="00FD1383" w:rsidP="00FD1383">
            <w:pPr>
              <w:rPr>
                <w:bCs/>
              </w:rPr>
            </w:pPr>
          </w:p>
          <w:p w14:paraId="44E5E922" w14:textId="07B2904F" w:rsidR="00FD1383" w:rsidRPr="00E413A1" w:rsidRDefault="00FD1383" w:rsidP="00FD138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(4) </w:t>
            </w:r>
            <w:r w:rsidRPr="00E413A1">
              <w:rPr>
                <w:b/>
                <w:bCs/>
                <w:i/>
                <w:iCs/>
              </w:rPr>
              <w:t>Attività formativa</w:t>
            </w:r>
            <w:r>
              <w:rPr>
                <w:b/>
                <w:bCs/>
                <w:i/>
                <w:iCs/>
              </w:rPr>
              <w:t xml:space="preserve"> dell’assegnista</w:t>
            </w:r>
          </w:p>
          <w:p w14:paraId="432D8761" w14:textId="77777777" w:rsidR="00FD1383" w:rsidRDefault="00FD1383" w:rsidP="00FD1383">
            <w:r w:rsidRPr="007D6255">
              <w:t xml:space="preserve">L’assegnista </w:t>
            </w:r>
            <w:r>
              <w:t>si inserirà in un progetto coordinato dalla Medicina Interna Cardiovascolare - Borghi, centro di eccellenza della società europea (ESH) e italiana (SIIA) dell’ipertensione arteriosa. L'attività prevede che l'assegnista implementi le varie fasi dello studio clinico, ai fini dell’arruolamento e gestione di pazienti per lo studio in atto.</w:t>
            </w:r>
          </w:p>
          <w:p w14:paraId="44AF7FC3" w14:textId="77777777" w:rsidR="00FD1383" w:rsidRDefault="00FD1383" w:rsidP="00FD1383"/>
          <w:p w14:paraId="1BC5286B" w14:textId="77C5BAC5" w:rsidR="00FD1383" w:rsidRPr="00E413A1" w:rsidRDefault="00FD1383" w:rsidP="00FD138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(5) </w:t>
            </w:r>
            <w:r w:rsidRPr="00E413A1">
              <w:rPr>
                <w:b/>
                <w:bCs/>
                <w:i/>
                <w:iCs/>
              </w:rPr>
              <w:t>Attività di ricerca dell’assegnista</w:t>
            </w:r>
          </w:p>
          <w:p w14:paraId="75AC5CC5" w14:textId="77777777" w:rsidR="00FD1383" w:rsidRDefault="00FD1383" w:rsidP="00FD1383">
            <w:r>
              <w:t>-</w:t>
            </w:r>
            <w:r>
              <w:tab/>
              <w:t>Studio dell’emodinamica centrale e della funzione endoteliale e delle tecniche di misura</w:t>
            </w:r>
          </w:p>
          <w:p w14:paraId="706FF1D7" w14:textId="77777777" w:rsidR="00FD1383" w:rsidRDefault="00FD1383" w:rsidP="00FD1383">
            <w:r>
              <w:t>-</w:t>
            </w:r>
            <w:r>
              <w:tab/>
              <w:t>Collaborazione al coordinamento dello studio e alla gestione del database</w:t>
            </w:r>
          </w:p>
          <w:p w14:paraId="119DC41D" w14:textId="77777777" w:rsidR="00FD1383" w:rsidRDefault="00FD1383" w:rsidP="00FD1383">
            <w:r>
              <w:t>-</w:t>
            </w:r>
            <w:r>
              <w:tab/>
              <w:t>Apprendere e/o consolidare il percorso di preparazione di articoli scientifici</w:t>
            </w:r>
          </w:p>
          <w:p w14:paraId="6C793B83" w14:textId="77777777" w:rsidR="00FD1383" w:rsidRDefault="00FD1383" w:rsidP="00FD1383">
            <w:r>
              <w:t>-</w:t>
            </w:r>
            <w:r>
              <w:tab/>
              <w:t>Pubblicazione scientifica</w:t>
            </w:r>
          </w:p>
          <w:p w14:paraId="6DCAE71F" w14:textId="0C0AF958" w:rsidR="0056623A" w:rsidRPr="00935A0A" w:rsidRDefault="0056623A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</w:p>
        </w:tc>
      </w:tr>
      <w:tr w:rsidR="008F7FAD" w:rsidRPr="002E1FF5" w14:paraId="048F57B8" w14:textId="77777777" w:rsidTr="00945AFC">
        <w:tc>
          <w:tcPr>
            <w:tcW w:w="8330" w:type="dxa"/>
            <w:gridSpan w:val="5"/>
            <w:shd w:val="clear" w:color="auto" w:fill="auto"/>
            <w:vAlign w:val="center"/>
          </w:tcPr>
          <w:p w14:paraId="66D7AE75" w14:textId="77777777" w:rsidR="008F7FAD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DESCRIZIONE</w:t>
            </w:r>
            <w:r w:rsidRPr="007A1E3A">
              <w:rPr>
                <w:b/>
                <w:sz w:val="28"/>
                <w:szCs w:val="28"/>
              </w:rPr>
              <w:t xml:space="preserve"> DELLE ATTIVITÀ DELL’ASSEGNISTA</w:t>
            </w:r>
            <w:r w:rsidRPr="00F70053">
              <w:rPr>
                <w:sz w:val="28"/>
                <w:szCs w:val="28"/>
              </w:rPr>
              <w:t xml:space="preserve"> </w:t>
            </w:r>
          </w:p>
          <w:p w14:paraId="7B4CB6D6" w14:textId="77777777" w:rsidR="008F7FAD" w:rsidRDefault="008F7FAD" w:rsidP="00945AFC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F70053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per i </w:t>
            </w:r>
            <w:r w:rsidRPr="00DB1934">
              <w:rPr>
                <w:b/>
                <w:i/>
                <w:sz w:val="20"/>
                <w:szCs w:val="20"/>
                <w:u w:val="single"/>
              </w:rPr>
              <w:t>nuovi</w:t>
            </w:r>
            <w:r>
              <w:rPr>
                <w:i/>
                <w:sz w:val="20"/>
                <w:szCs w:val="20"/>
              </w:rPr>
              <w:t xml:space="preserve"> assegni: </w:t>
            </w:r>
            <w:proofErr w:type="spellStart"/>
            <w:r>
              <w:rPr>
                <w:i/>
                <w:sz w:val="20"/>
                <w:szCs w:val="20"/>
              </w:rPr>
              <w:t>max</w:t>
            </w:r>
            <w:proofErr w:type="spellEnd"/>
            <w:r>
              <w:rPr>
                <w:i/>
                <w:sz w:val="20"/>
                <w:szCs w:val="20"/>
              </w:rPr>
              <w:t xml:space="preserve"> 400</w:t>
            </w:r>
            <w:r w:rsidRPr="00F70053">
              <w:rPr>
                <w:i/>
                <w:sz w:val="20"/>
                <w:szCs w:val="20"/>
              </w:rPr>
              <w:t xml:space="preserve"> parole</w:t>
            </w:r>
            <w:r>
              <w:rPr>
                <w:i/>
                <w:sz w:val="20"/>
                <w:szCs w:val="20"/>
              </w:rPr>
              <w:t xml:space="preserve">; competenze richieste, </w:t>
            </w:r>
            <w:r w:rsidRPr="004B08A3">
              <w:rPr>
                <w:i/>
                <w:sz w:val="20"/>
                <w:szCs w:val="20"/>
              </w:rPr>
              <w:t>scans</w:t>
            </w:r>
            <w:r>
              <w:rPr>
                <w:i/>
                <w:sz w:val="20"/>
                <w:szCs w:val="20"/>
              </w:rPr>
              <w:t xml:space="preserve">ione temporale della formazione, </w:t>
            </w:r>
            <w:r w:rsidRPr="004B08A3">
              <w:rPr>
                <w:i/>
                <w:sz w:val="20"/>
                <w:szCs w:val="20"/>
              </w:rPr>
              <w:t>scansione temporale dell’attivi</w:t>
            </w:r>
            <w:r>
              <w:rPr>
                <w:i/>
                <w:sz w:val="20"/>
                <w:szCs w:val="20"/>
              </w:rPr>
              <w:t xml:space="preserve">tà, </w:t>
            </w:r>
            <w:r w:rsidRPr="004B08A3">
              <w:rPr>
                <w:i/>
                <w:sz w:val="20"/>
                <w:szCs w:val="20"/>
              </w:rPr>
              <w:t>obiettivi primari e secondari</w:t>
            </w:r>
            <w:r w:rsidRPr="00F70053">
              <w:rPr>
                <w:i/>
                <w:sz w:val="20"/>
                <w:szCs w:val="20"/>
              </w:rPr>
              <w:t>)</w:t>
            </w:r>
          </w:p>
          <w:p w14:paraId="490F2501" w14:textId="77777777" w:rsidR="008F7FAD" w:rsidRPr="00DB1934" w:rsidRDefault="008F7FAD" w:rsidP="00945AFC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(per i </w:t>
            </w:r>
            <w:r w:rsidRPr="00DB1934">
              <w:rPr>
                <w:b/>
                <w:i/>
                <w:sz w:val="20"/>
                <w:szCs w:val="20"/>
                <w:u w:val="single"/>
              </w:rPr>
              <w:t>rinnovi</w:t>
            </w:r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max</w:t>
            </w:r>
            <w:proofErr w:type="spellEnd"/>
            <w:r>
              <w:rPr>
                <w:i/>
                <w:sz w:val="20"/>
                <w:szCs w:val="20"/>
              </w:rPr>
              <w:t xml:space="preserve"> 600 parole – da integrare con la relazione dell’assegnista; formazione raggiunta, attività effettuata, </w:t>
            </w:r>
            <w:r w:rsidRPr="004B08A3">
              <w:rPr>
                <w:i/>
                <w:sz w:val="20"/>
                <w:szCs w:val="20"/>
              </w:rPr>
              <w:t xml:space="preserve">obiettivi </w:t>
            </w:r>
            <w:r>
              <w:rPr>
                <w:i/>
                <w:sz w:val="20"/>
                <w:szCs w:val="20"/>
              </w:rPr>
              <w:t xml:space="preserve">raggiunti/competenze acquisite, </w:t>
            </w:r>
            <w:r w:rsidRPr="004B08A3">
              <w:rPr>
                <w:i/>
                <w:sz w:val="20"/>
                <w:szCs w:val="20"/>
              </w:rPr>
              <w:t>formazione anco</w:t>
            </w:r>
            <w:r>
              <w:rPr>
                <w:i/>
                <w:sz w:val="20"/>
                <w:szCs w:val="20"/>
              </w:rPr>
              <w:t xml:space="preserve">ra da acquisire (se pertinente), </w:t>
            </w:r>
            <w:r w:rsidRPr="004B08A3">
              <w:rPr>
                <w:i/>
                <w:sz w:val="20"/>
                <w:szCs w:val="20"/>
              </w:rPr>
              <w:t>scansione temporale dell’attività durante il rinnovo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24" w:type="dxa"/>
            <w:shd w:val="pct10" w:color="FFFF00" w:fill="auto"/>
            <w:vAlign w:val="center"/>
          </w:tcPr>
          <w:p w14:paraId="650B7B8A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52083">
              <w:rPr>
                <w:i/>
              </w:rPr>
              <w:t>Punti</w:t>
            </w:r>
          </w:p>
        </w:tc>
      </w:tr>
      <w:tr w:rsidR="008F7FAD" w:rsidRPr="00A4732A" w14:paraId="44D64D99" w14:textId="77777777" w:rsidTr="00945AFC">
        <w:trPr>
          <w:trHeight w:val="3090"/>
        </w:trPr>
        <w:tc>
          <w:tcPr>
            <w:tcW w:w="9854" w:type="dxa"/>
            <w:gridSpan w:val="6"/>
            <w:shd w:val="clear" w:color="auto" w:fill="auto"/>
          </w:tcPr>
          <w:p w14:paraId="350EF686" w14:textId="77777777" w:rsidR="002A24C7" w:rsidRDefault="002A24C7" w:rsidP="002A24C7">
            <w:r w:rsidRPr="007D6255">
              <w:lastRenderedPageBreak/>
              <w:t xml:space="preserve">L’assegnista </w:t>
            </w:r>
            <w:r>
              <w:t>si inserirà in un progetto coordinato dalla Medicina Interna Cardiovascolare, centro di eccellenza della società europea (ESH) e italiana (SIIA) dell’ipertensione arteriosa. L'attività prevede che l'assegnista acquisisca competenza nell'inquadramento diagnostico e terapeutico dei pazienti afferenti agli ambulatori dell'ipertensione arteriosa, nonché padronanza degli strumenti diagnostici non invasivi di misurazione dei parametri emodinamici centrali (quali rigidità arteriosa, pressione arteriosa centrale) e di funzione endoteliale (flow-</w:t>
            </w:r>
            <w:proofErr w:type="spellStart"/>
            <w:r>
              <w:t>mediated</w:t>
            </w:r>
            <w:proofErr w:type="spellEnd"/>
            <w:r>
              <w:t xml:space="preserve"> </w:t>
            </w:r>
            <w:proofErr w:type="spellStart"/>
            <w:r>
              <w:t>dilation</w:t>
            </w:r>
            <w:proofErr w:type="spellEnd"/>
            <w:r>
              <w:t xml:space="preserve">, </w:t>
            </w:r>
            <w:proofErr w:type="spellStart"/>
            <w:r>
              <w:t>Glicocalice</w:t>
            </w:r>
            <w:proofErr w:type="spellEnd"/>
            <w:r>
              <w:t>), ai fini principalmente dell’arruolamento e gestione di pazienti per lo studio in atto.</w:t>
            </w:r>
          </w:p>
          <w:p w14:paraId="1A1430F3" w14:textId="77777777" w:rsidR="002A24C7" w:rsidRDefault="002A24C7" w:rsidP="002A24C7">
            <w:pPr>
              <w:rPr>
                <w:i/>
                <w:sz w:val="20"/>
                <w:szCs w:val="20"/>
              </w:rPr>
            </w:pPr>
          </w:p>
          <w:p w14:paraId="13A68B95" w14:textId="77777777" w:rsidR="002A24C7" w:rsidRDefault="002A24C7" w:rsidP="002A24C7">
            <w:r>
              <w:t>Obiettivi primari:</w:t>
            </w:r>
          </w:p>
          <w:p w14:paraId="77459A88" w14:textId="77777777" w:rsidR="002A24C7" w:rsidRDefault="002A24C7" w:rsidP="002A24C7">
            <w:pPr>
              <w:pStyle w:val="Paragrafoelenco"/>
              <w:numPr>
                <w:ilvl w:val="0"/>
                <w:numId w:val="17"/>
              </w:numPr>
            </w:pPr>
            <w:r>
              <w:t>Appropriarsi delle tecniche di misura non invasiva dell’emodinamica centrale (tonometria arteriosa) e della funzione endoteliale (flow-</w:t>
            </w:r>
            <w:proofErr w:type="spellStart"/>
            <w:r>
              <w:t>mediated</w:t>
            </w:r>
            <w:proofErr w:type="spellEnd"/>
            <w:r>
              <w:t xml:space="preserve"> </w:t>
            </w:r>
            <w:proofErr w:type="spellStart"/>
            <w:r>
              <w:t>dilation</w:t>
            </w:r>
            <w:proofErr w:type="spellEnd"/>
            <w:r>
              <w:t xml:space="preserve">; </w:t>
            </w:r>
            <w:proofErr w:type="spellStart"/>
            <w:r>
              <w:t>glicocalice</w:t>
            </w:r>
            <w:proofErr w:type="spellEnd"/>
            <w:r>
              <w:t>) (1 mese di affiancamento; successiva autonomia fino alla fine del contratto)</w:t>
            </w:r>
          </w:p>
          <w:p w14:paraId="44465794" w14:textId="77777777" w:rsidR="002A24C7" w:rsidRDefault="002A24C7" w:rsidP="002A24C7">
            <w:pPr>
              <w:pStyle w:val="Paragrafoelenco"/>
              <w:numPr>
                <w:ilvl w:val="0"/>
                <w:numId w:val="17"/>
              </w:numPr>
            </w:pPr>
            <w:r>
              <w:t>Arruolamento dei pazienti dello studio (secondo le tempistiche previste dallo studio)</w:t>
            </w:r>
          </w:p>
          <w:p w14:paraId="599AB27D" w14:textId="77777777" w:rsidR="002A24C7" w:rsidRDefault="002A24C7" w:rsidP="002A24C7">
            <w:pPr>
              <w:pStyle w:val="Paragrafoelenco"/>
              <w:numPr>
                <w:ilvl w:val="0"/>
                <w:numId w:val="17"/>
              </w:numPr>
            </w:pPr>
            <w:r>
              <w:t>Collaborazione al coordinamento dello studio, programmazione visite ed esami (secondo le tempistiche previste dallo studio)</w:t>
            </w:r>
          </w:p>
          <w:p w14:paraId="1EBE4A91" w14:textId="77777777" w:rsidR="002A24C7" w:rsidRDefault="002A24C7" w:rsidP="002A24C7">
            <w:pPr>
              <w:pStyle w:val="Paragrafoelenco"/>
              <w:numPr>
                <w:ilvl w:val="0"/>
                <w:numId w:val="17"/>
              </w:numPr>
            </w:pPr>
            <w:r>
              <w:t>Applicazione delle conoscenze e delle tecniche apprese per gli obiettivi dello studio (secondo le tempistiche previste dallo studio)</w:t>
            </w:r>
          </w:p>
          <w:p w14:paraId="053F5866" w14:textId="77777777" w:rsidR="002A24C7" w:rsidRDefault="002A24C7" w:rsidP="002A24C7">
            <w:pPr>
              <w:numPr>
                <w:ilvl w:val="0"/>
                <w:numId w:val="17"/>
              </w:numPr>
            </w:pPr>
            <w:r>
              <w:t>Contribuire all’implementazione del database e all’elaborazione concettuale e pratica dell’analisi statistica, in particolare per gli obiettivi dello studio.</w:t>
            </w:r>
          </w:p>
          <w:p w14:paraId="6A2EEB9D" w14:textId="77777777" w:rsidR="002A24C7" w:rsidRDefault="002A24C7" w:rsidP="002A24C7">
            <w:pPr>
              <w:pStyle w:val="Paragrafoelenco"/>
              <w:numPr>
                <w:ilvl w:val="0"/>
                <w:numId w:val="17"/>
              </w:numPr>
            </w:pPr>
            <w:r>
              <w:t>Apprendere e/o consolidare il percorso di preparazione di articoli scientifici</w:t>
            </w:r>
          </w:p>
          <w:p w14:paraId="2511C678" w14:textId="77777777" w:rsidR="002A24C7" w:rsidRDefault="002A24C7" w:rsidP="002A24C7">
            <w:pPr>
              <w:pStyle w:val="Paragrafoelenco"/>
              <w:numPr>
                <w:ilvl w:val="0"/>
                <w:numId w:val="17"/>
              </w:numPr>
            </w:pPr>
            <w:r>
              <w:t>Pubblicazione scientifica</w:t>
            </w:r>
          </w:p>
          <w:p w14:paraId="35F7BAAB" w14:textId="77777777" w:rsidR="002A24C7" w:rsidRDefault="002A24C7" w:rsidP="002A24C7"/>
          <w:p w14:paraId="7BC0FA20" w14:textId="77777777" w:rsidR="002A24C7" w:rsidRDefault="002A24C7" w:rsidP="002A24C7">
            <w:r>
              <w:t>Obiettivi secondari:</w:t>
            </w:r>
          </w:p>
          <w:p w14:paraId="35488CD2" w14:textId="77777777" w:rsidR="002A24C7" w:rsidRDefault="002A24C7" w:rsidP="002A24C7">
            <w:pPr>
              <w:pStyle w:val="Paragrafoelenco"/>
              <w:numPr>
                <w:ilvl w:val="0"/>
                <w:numId w:val="17"/>
              </w:numPr>
            </w:pPr>
            <w:r>
              <w:t>Apprendere elementi di biostatistica (3 mesi di apprendimento)</w:t>
            </w:r>
          </w:p>
          <w:p w14:paraId="0A24E79E" w14:textId="5111AF84" w:rsidR="008F7FAD" w:rsidRPr="002A24C7" w:rsidRDefault="002A24C7" w:rsidP="002A24C7">
            <w:pPr>
              <w:pStyle w:val="Paragrafoelenco"/>
              <w:numPr>
                <w:ilvl w:val="0"/>
                <w:numId w:val="17"/>
              </w:numPr>
            </w:pPr>
            <w:r>
              <w:t>Implementare nuovi e preesistenti database, con elaborazione concettuale e statistica dei dati.</w:t>
            </w:r>
            <w:bookmarkStart w:id="0" w:name="_GoBack"/>
            <w:bookmarkEnd w:id="0"/>
          </w:p>
        </w:tc>
      </w:tr>
    </w:tbl>
    <w:p w14:paraId="6C6BBF12" w14:textId="77777777" w:rsidR="008F7FAD" w:rsidRDefault="008F7FAD" w:rsidP="008F7FAD">
      <w:pPr>
        <w:jc w:val="both"/>
        <w:rPr>
          <w:color w:val="FF0000"/>
        </w:rPr>
      </w:pPr>
      <w:r>
        <w:rPr>
          <w:color w:val="FF0000"/>
        </w:rPr>
        <w:t>SE RINNOVO, SI RICORDA DI ALLEGARE ANCHE LA RELAZIONE DELL’ASSEGNISTA</w:t>
      </w:r>
      <w:r w:rsidR="00052630">
        <w:rPr>
          <w:color w:val="FF0000"/>
        </w:rPr>
        <w:t xml:space="preserve"> CON LA SUA PRODUZIONE SCIENTIFICA</w:t>
      </w:r>
      <w:r>
        <w:rPr>
          <w:color w:val="FF0000"/>
        </w:rPr>
        <w:t>.</w:t>
      </w:r>
    </w:p>
    <w:p w14:paraId="7C8E033B" w14:textId="77777777" w:rsidR="008F7FAD" w:rsidRPr="00935A0A" w:rsidRDefault="008F7FAD" w:rsidP="008F7FAD">
      <w:pPr>
        <w:rPr>
          <w:color w:val="FF0000"/>
          <w:sz w:val="18"/>
        </w:rPr>
      </w:pPr>
    </w:p>
    <w:p w14:paraId="6F1EEBA3" w14:textId="77777777" w:rsidR="008F7FAD" w:rsidRPr="005918FB" w:rsidRDefault="008F7FAD" w:rsidP="008F7FAD">
      <w:pPr>
        <w:spacing w:after="60"/>
        <w:ind w:left="720"/>
        <w:jc w:val="right"/>
        <w:rPr>
          <w:i/>
        </w:rPr>
      </w:pPr>
      <w:r>
        <w:rPr>
          <w:i/>
        </w:rPr>
        <w:t>Scheda attività assistenziale (se prevista)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603B8" w:rsidRPr="00E603B8" w14:paraId="6AEB962C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BA23" w14:textId="77777777" w:rsidR="00341677" w:rsidRPr="00E603B8" w:rsidRDefault="00341677" w:rsidP="00D90C0A">
            <w:pPr>
              <w:spacing w:before="60" w:after="60"/>
              <w:jc w:val="both"/>
              <w:rPr>
                <w:b/>
                <w:color w:val="FF0000"/>
              </w:rPr>
            </w:pPr>
            <w:r w:rsidRPr="00E603B8">
              <w:rPr>
                <w:b/>
                <w:color w:val="FF0000"/>
              </w:rPr>
              <w:t>ATTIVITÀ ASSISTENZIALI DELL’ASSEGNISTA/ N. ORE SETTIMANA</w:t>
            </w:r>
          </w:p>
        </w:tc>
      </w:tr>
      <w:tr w:rsidR="00E603B8" w:rsidRPr="00E603B8" w14:paraId="20E9CA42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FE6F" w14:textId="77777777" w:rsidR="00341677" w:rsidRPr="00E603B8" w:rsidRDefault="00341677" w:rsidP="00D90C0A">
            <w:pPr>
              <w:pStyle w:val="NormaleWeb"/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</w:p>
        </w:tc>
      </w:tr>
      <w:tr w:rsidR="00E603B8" w:rsidRPr="00E603B8" w14:paraId="76C48DE9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090A" w14:textId="77777777" w:rsidR="00341677" w:rsidRPr="00E603B8" w:rsidRDefault="00341677" w:rsidP="00D90C0A">
            <w:pPr>
              <w:pStyle w:val="NormaleWeb"/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</w:p>
        </w:tc>
      </w:tr>
      <w:tr w:rsidR="00E603B8" w:rsidRPr="00E603B8" w14:paraId="25B1E51E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1635" w14:textId="77777777" w:rsidR="00341677" w:rsidRPr="00E603B8" w:rsidRDefault="00341677" w:rsidP="00D90C0A">
            <w:pPr>
              <w:pStyle w:val="NormaleWeb"/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</w:p>
        </w:tc>
      </w:tr>
      <w:tr w:rsidR="00E603B8" w:rsidRPr="00E603B8" w14:paraId="4BABBBB2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7F19" w14:textId="77777777" w:rsidR="00341677" w:rsidRPr="00E603B8" w:rsidRDefault="00341677" w:rsidP="00D90C0A">
            <w:pPr>
              <w:pStyle w:val="NormaleWeb"/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  <w:r w:rsidRPr="00E603B8">
              <w:rPr>
                <w:color w:val="FF0000"/>
              </w:rPr>
              <w:t>AZIENDA SANITARIA PRESSO CUI SI SVOLGERÀ L’ATTIVITÀ</w:t>
            </w:r>
          </w:p>
        </w:tc>
      </w:tr>
      <w:tr w:rsidR="00341677" w14:paraId="0FA91781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7ECC" w14:textId="77777777" w:rsidR="00341677" w:rsidRDefault="00341677" w:rsidP="00D90C0A">
            <w:pPr>
              <w:pStyle w:val="NormaleWeb"/>
              <w:spacing w:before="0" w:beforeAutospacing="0" w:after="120" w:afterAutospacing="0"/>
              <w:jc w:val="both"/>
              <w:rPr>
                <w:sz w:val="21"/>
                <w:szCs w:val="21"/>
              </w:rPr>
            </w:pPr>
          </w:p>
        </w:tc>
      </w:tr>
    </w:tbl>
    <w:p w14:paraId="64F75699" w14:textId="77777777" w:rsidR="008F7FAD" w:rsidRDefault="008F7FAD" w:rsidP="008F7FAD">
      <w:pPr>
        <w:jc w:val="both"/>
      </w:pPr>
      <w:r w:rsidRPr="00946994">
        <w:t xml:space="preserve">Si ricorda che, come previsto dagli Accordi sull’impiego nell’attività assistenziale dei Titolari di assegni di ricerca, sottoscritti tra l’Università di Bologna e le Aziende Ospedaliere di riferimento, una volta stipulato il contratto con il vincitore della selezione, </w:t>
      </w:r>
      <w:r w:rsidRPr="00460601">
        <w:t>il tutor deve</w:t>
      </w:r>
      <w:r w:rsidRPr="00946994">
        <w:t xml:space="preserve"> consegnare alla Direzione Medica Ospedaliera la relativa modulistica, nella quale andranno riportate le attività qui segnalate.</w:t>
      </w:r>
    </w:p>
    <w:p w14:paraId="7FC22842" w14:textId="77777777" w:rsidR="00984211" w:rsidRDefault="00984211" w:rsidP="008F7FAD">
      <w:pPr>
        <w:jc w:val="both"/>
      </w:pPr>
    </w:p>
    <w:p w14:paraId="568F75C5" w14:textId="77777777" w:rsidR="00984211" w:rsidRDefault="00984211" w:rsidP="008F7FAD">
      <w:pPr>
        <w:jc w:val="both"/>
      </w:pPr>
    </w:p>
    <w:p w14:paraId="58A5E1E7" w14:textId="77777777" w:rsidR="00984211" w:rsidRPr="00C757B5" w:rsidRDefault="00984211" w:rsidP="008F7FAD">
      <w:pPr>
        <w:jc w:val="both"/>
        <w:rPr>
          <w:rFonts w:ascii="Trajan" w:hAnsi="Trajan"/>
        </w:rPr>
      </w:pPr>
    </w:p>
    <w:sectPr w:rsidR="00984211" w:rsidRPr="00C757B5" w:rsidSect="00BE1C84">
      <w:headerReference w:type="default" r:id="rId7"/>
      <w:footerReference w:type="default" r:id="rId8"/>
      <w:pgSz w:w="11906" w:h="16838"/>
      <w:pgMar w:top="1134" w:right="1134" w:bottom="567" w:left="1134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6E182" w14:textId="77777777" w:rsidR="008F0632" w:rsidRDefault="008F0632">
      <w:r>
        <w:separator/>
      </w:r>
    </w:p>
  </w:endnote>
  <w:endnote w:type="continuationSeparator" w:id="0">
    <w:p w14:paraId="61A81762" w14:textId="77777777" w:rsidR="008F0632" w:rsidRDefault="008F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aja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16772" w14:textId="77777777" w:rsidR="00BE1C84" w:rsidRPr="008A26FE" w:rsidRDefault="00BE1C84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  <w:r w:rsidRPr="008A26FE">
      <w:rPr>
        <w:rFonts w:ascii="Garamond" w:hAnsi="Garamond"/>
        <w:smallCaps/>
        <w:sz w:val="20"/>
        <w:szCs w:val="20"/>
      </w:rPr>
      <w:t>ALMA MATER STUDIORUM - UNIVERSIT</w:t>
    </w:r>
    <w:r w:rsidRPr="008A26FE">
      <w:rPr>
        <w:rFonts w:ascii="Garamond" w:eastAsia="Arial Unicode MS" w:hAnsi="Garamond"/>
        <w:smallCaps/>
        <w:sz w:val="20"/>
        <w:szCs w:val="20"/>
      </w:rPr>
      <w:t>À</w:t>
    </w:r>
    <w:r w:rsidRPr="008A26FE">
      <w:rPr>
        <w:rFonts w:ascii="Garamond" w:hAnsi="Garamond"/>
        <w:smallCaps/>
        <w:sz w:val="20"/>
        <w:szCs w:val="20"/>
      </w:rPr>
      <w:t xml:space="preserve"> DI BOLOGNA</w:t>
    </w:r>
  </w:p>
  <w:p w14:paraId="428A76E0" w14:textId="77777777" w:rsidR="005771B8" w:rsidRDefault="005771B8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caps/>
        <w:sz w:val="16"/>
        <w:szCs w:val="16"/>
      </w:rPr>
    </w:pPr>
    <w:r>
      <w:rPr>
        <w:rFonts w:ascii="Garamond" w:hAnsi="Garamond"/>
        <w:caps/>
        <w:sz w:val="16"/>
        <w:szCs w:val="16"/>
      </w:rPr>
      <w:t>SEDE AMMINIS</w:t>
    </w:r>
    <w:r w:rsidR="00AD57B7">
      <w:rPr>
        <w:rFonts w:ascii="Garamond" w:hAnsi="Garamond"/>
        <w:caps/>
        <w:sz w:val="16"/>
        <w:szCs w:val="16"/>
      </w:rPr>
      <w:t>TRATIVA C/O AZIENDA OSPEDALIERO-</w:t>
    </w:r>
    <w:r>
      <w:rPr>
        <w:rFonts w:ascii="Garamond" w:hAnsi="Garamond"/>
        <w:caps/>
        <w:sz w:val="16"/>
        <w:szCs w:val="16"/>
      </w:rPr>
      <w:t>UNIVERSITARIA – POLICLINICO S. ORSOLA–MALPIGHI</w:t>
    </w:r>
  </w:p>
  <w:p w14:paraId="54FF4FE2" w14:textId="77777777" w:rsidR="00BE1C84" w:rsidRPr="00CB5C37" w:rsidRDefault="00BE1C84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szCs w:val="16"/>
      </w:rPr>
    </w:pPr>
    <w:r w:rsidRPr="008A26FE">
      <w:rPr>
        <w:rFonts w:ascii="Garamond" w:hAnsi="Garamond"/>
        <w:caps/>
        <w:sz w:val="16"/>
        <w:szCs w:val="16"/>
      </w:rPr>
      <w:t>Via</w:t>
    </w:r>
    <w:r>
      <w:rPr>
        <w:rFonts w:ascii="Garamond" w:hAnsi="Garamond"/>
        <w:caps/>
        <w:sz w:val="16"/>
        <w:szCs w:val="16"/>
      </w:rPr>
      <w:t xml:space="preserve"> </w:t>
    </w:r>
    <w:r w:rsidR="005771B8">
      <w:rPr>
        <w:rFonts w:ascii="Garamond" w:hAnsi="Garamond"/>
        <w:caps/>
        <w:sz w:val="16"/>
        <w:szCs w:val="16"/>
      </w:rPr>
      <w:t>MASSARENTI 9, PADIGLIONE 11</w:t>
    </w:r>
    <w:r w:rsidRPr="008A26FE">
      <w:rPr>
        <w:rFonts w:ascii="Garamond" w:hAnsi="Garamond"/>
        <w:caps/>
        <w:sz w:val="16"/>
        <w:szCs w:val="16"/>
      </w:rPr>
      <w:t xml:space="preserve"> </w:t>
    </w:r>
    <w:r w:rsidR="001D5749">
      <w:rPr>
        <w:rFonts w:ascii="Garamond" w:hAnsi="Garamond"/>
        <w:caps/>
        <w:sz w:val="16"/>
        <w:szCs w:val="16"/>
      </w:rPr>
      <w:t xml:space="preserve">- </w:t>
    </w:r>
    <w:r w:rsidR="001D5749" w:rsidRPr="008A26FE">
      <w:rPr>
        <w:rFonts w:ascii="Garamond" w:hAnsi="Garamond"/>
        <w:caps/>
        <w:sz w:val="16"/>
        <w:szCs w:val="16"/>
      </w:rPr>
      <w:t>401</w:t>
    </w:r>
    <w:r w:rsidR="001D5749">
      <w:rPr>
        <w:rFonts w:ascii="Garamond" w:hAnsi="Garamond"/>
        <w:caps/>
        <w:sz w:val="16"/>
        <w:szCs w:val="16"/>
      </w:rPr>
      <w:t xml:space="preserve">38 Bologna - Italia </w:t>
    </w:r>
    <w:r w:rsidR="00C05A72">
      <w:rPr>
        <w:rFonts w:ascii="Garamond" w:hAnsi="Garamond"/>
        <w:caps/>
        <w:sz w:val="16"/>
        <w:szCs w:val="16"/>
      </w:rPr>
      <w:t>–</w:t>
    </w:r>
    <w:r w:rsidRPr="008A26FE">
      <w:rPr>
        <w:rFonts w:ascii="Garamond" w:hAnsi="Garamond"/>
        <w:caps/>
        <w:sz w:val="16"/>
        <w:szCs w:val="16"/>
      </w:rPr>
      <w:t xml:space="preserve"> </w:t>
    </w:r>
    <w:hyperlink r:id="rId1" w:history="1">
      <w:r w:rsidR="00C05A72" w:rsidRPr="0017512C">
        <w:rPr>
          <w:rStyle w:val="Collegamentoipertestuale"/>
          <w:rFonts w:ascii="Garamond" w:hAnsi="Garamond"/>
          <w:sz w:val="20"/>
          <w:szCs w:val="20"/>
        </w:rPr>
        <w:t>dimec.dipartimento@pec.unibo.it</w:t>
      </w:r>
    </w:hyperlink>
    <w:r w:rsidR="00C05A72" w:rsidRPr="00C05A72">
      <w:rPr>
        <w:rFonts w:ascii="Garamond" w:hAnsi="Garamond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4CF6E" w14:textId="77777777" w:rsidR="008F0632" w:rsidRDefault="008F0632">
      <w:r>
        <w:separator/>
      </w:r>
    </w:p>
  </w:footnote>
  <w:footnote w:type="continuationSeparator" w:id="0">
    <w:p w14:paraId="6701281D" w14:textId="77777777" w:rsidR="008F0632" w:rsidRDefault="008F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9A407" w14:textId="682A051D" w:rsidR="00BE1C84" w:rsidRDefault="0056632E" w:rsidP="002A0F0A">
    <w:pPr>
      <w:pStyle w:val="Intestazione"/>
      <w:jc w:val="center"/>
    </w:pPr>
    <w:r>
      <w:rPr>
        <w:noProof/>
      </w:rPr>
      <w:drawing>
        <wp:inline distT="0" distB="0" distL="0" distR="0" wp14:anchorId="6C880F6C" wp14:editId="1ED4E38B">
          <wp:extent cx="4057650" cy="1524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347DC"/>
    <w:multiLevelType w:val="singleLevel"/>
    <w:tmpl w:val="EB5228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D163CB"/>
    <w:multiLevelType w:val="hybridMultilevel"/>
    <w:tmpl w:val="8416BFD0"/>
    <w:lvl w:ilvl="0" w:tplc="2B38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44601A"/>
    <w:multiLevelType w:val="hybridMultilevel"/>
    <w:tmpl w:val="495A6C50"/>
    <w:lvl w:ilvl="0" w:tplc="349A685A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F848D2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CADA8916">
      <w:start w:val="4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D8511B"/>
    <w:multiLevelType w:val="hybridMultilevel"/>
    <w:tmpl w:val="50680440"/>
    <w:lvl w:ilvl="0" w:tplc="6E6CB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30612"/>
    <w:multiLevelType w:val="hybridMultilevel"/>
    <w:tmpl w:val="33464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649CE"/>
    <w:multiLevelType w:val="hybridMultilevel"/>
    <w:tmpl w:val="495A6C50"/>
    <w:lvl w:ilvl="0" w:tplc="349A685A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F848D2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CADA8916">
      <w:start w:val="4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1B1094B"/>
    <w:multiLevelType w:val="hybridMultilevel"/>
    <w:tmpl w:val="B2FCDF8A"/>
    <w:lvl w:ilvl="0" w:tplc="A0044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14CF1"/>
    <w:multiLevelType w:val="hybridMultilevel"/>
    <w:tmpl w:val="0068F3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C6730"/>
    <w:multiLevelType w:val="hybridMultilevel"/>
    <w:tmpl w:val="887EAD4E"/>
    <w:lvl w:ilvl="0" w:tplc="A13CFB7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C4078DD"/>
    <w:multiLevelType w:val="hybridMultilevel"/>
    <w:tmpl w:val="00122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E4151"/>
    <w:multiLevelType w:val="hybridMultilevel"/>
    <w:tmpl w:val="1BC845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B2058"/>
    <w:multiLevelType w:val="hybridMultilevel"/>
    <w:tmpl w:val="E8F0DA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492921"/>
    <w:multiLevelType w:val="hybridMultilevel"/>
    <w:tmpl w:val="354AB89A"/>
    <w:lvl w:ilvl="0" w:tplc="03C84D0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773A9F"/>
    <w:multiLevelType w:val="hybridMultilevel"/>
    <w:tmpl w:val="CECE3EAC"/>
    <w:lvl w:ilvl="0" w:tplc="228A8898">
      <w:start w:val="2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EAA2FFA"/>
    <w:multiLevelType w:val="hybridMultilevel"/>
    <w:tmpl w:val="861C4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F74DA"/>
    <w:multiLevelType w:val="hybridMultilevel"/>
    <w:tmpl w:val="57F488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11"/>
  </w:num>
  <w:num w:numId="8">
    <w:abstractNumId w:val="2"/>
  </w:num>
  <w:num w:numId="9">
    <w:abstractNumId w:val="16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10"/>
  </w:num>
  <w:num w:numId="15">
    <w:abstractNumId w:val="9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1D62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2630"/>
    <w:rsid w:val="0005379F"/>
    <w:rsid w:val="00054F9D"/>
    <w:rsid w:val="00056F8C"/>
    <w:rsid w:val="0005744F"/>
    <w:rsid w:val="00060F13"/>
    <w:rsid w:val="0006159F"/>
    <w:rsid w:val="000627C5"/>
    <w:rsid w:val="00062CD8"/>
    <w:rsid w:val="000638A4"/>
    <w:rsid w:val="00063CCE"/>
    <w:rsid w:val="0006451B"/>
    <w:rsid w:val="000649E3"/>
    <w:rsid w:val="00065195"/>
    <w:rsid w:val="00065DE4"/>
    <w:rsid w:val="00067DC5"/>
    <w:rsid w:val="00070B79"/>
    <w:rsid w:val="00071338"/>
    <w:rsid w:val="00072AEC"/>
    <w:rsid w:val="00072B7E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87DAB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5CCB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4A04"/>
    <w:rsid w:val="001250DC"/>
    <w:rsid w:val="00126819"/>
    <w:rsid w:val="00126A5B"/>
    <w:rsid w:val="00130867"/>
    <w:rsid w:val="0013129B"/>
    <w:rsid w:val="00131662"/>
    <w:rsid w:val="00132368"/>
    <w:rsid w:val="00133151"/>
    <w:rsid w:val="001335C9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749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03AC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BC9"/>
    <w:rsid w:val="001F4D71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2917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295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D76"/>
    <w:rsid w:val="00261546"/>
    <w:rsid w:val="00261956"/>
    <w:rsid w:val="00263B5D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13F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228A"/>
    <w:rsid w:val="0029432D"/>
    <w:rsid w:val="0029492B"/>
    <w:rsid w:val="002977CB"/>
    <w:rsid w:val="002A0F0A"/>
    <w:rsid w:val="002A10D9"/>
    <w:rsid w:val="002A1E06"/>
    <w:rsid w:val="002A1EAF"/>
    <w:rsid w:val="002A24C7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A7F88"/>
    <w:rsid w:val="002B0DB8"/>
    <w:rsid w:val="002B1CB9"/>
    <w:rsid w:val="002B2784"/>
    <w:rsid w:val="002B2E7B"/>
    <w:rsid w:val="002B3409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6FA4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540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153"/>
    <w:rsid w:val="002F3E6D"/>
    <w:rsid w:val="002F5C4C"/>
    <w:rsid w:val="002F6720"/>
    <w:rsid w:val="002F68AB"/>
    <w:rsid w:val="002F6DD5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020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1677"/>
    <w:rsid w:val="00342D06"/>
    <w:rsid w:val="00343A82"/>
    <w:rsid w:val="003444BB"/>
    <w:rsid w:val="00344619"/>
    <w:rsid w:val="00344AD0"/>
    <w:rsid w:val="00345C82"/>
    <w:rsid w:val="00345DF7"/>
    <w:rsid w:val="00345E12"/>
    <w:rsid w:val="0034693D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94A"/>
    <w:rsid w:val="00372BEC"/>
    <w:rsid w:val="003734A4"/>
    <w:rsid w:val="003734D3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1BF4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2B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579B0"/>
    <w:rsid w:val="00460601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52F"/>
    <w:rsid w:val="00484ED9"/>
    <w:rsid w:val="00484FF2"/>
    <w:rsid w:val="004868FB"/>
    <w:rsid w:val="00486C74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F3B"/>
    <w:rsid w:val="004A2876"/>
    <w:rsid w:val="004A373F"/>
    <w:rsid w:val="004A3F47"/>
    <w:rsid w:val="004A5824"/>
    <w:rsid w:val="004A5CCA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48E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92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07027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43C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35B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23A"/>
    <w:rsid w:val="0056632E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8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0880"/>
    <w:rsid w:val="005C15A3"/>
    <w:rsid w:val="005C230E"/>
    <w:rsid w:val="005C275A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E1A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54F9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691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541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3AC"/>
    <w:rsid w:val="006B0841"/>
    <w:rsid w:val="006B0A14"/>
    <w:rsid w:val="006B16A2"/>
    <w:rsid w:val="006B2137"/>
    <w:rsid w:val="006B3D30"/>
    <w:rsid w:val="006B4797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3B78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432B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279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DA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708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719"/>
    <w:rsid w:val="007A5BAE"/>
    <w:rsid w:val="007A6197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5E99"/>
    <w:rsid w:val="007B6275"/>
    <w:rsid w:val="007B69B7"/>
    <w:rsid w:val="007B6CC5"/>
    <w:rsid w:val="007B726C"/>
    <w:rsid w:val="007C016D"/>
    <w:rsid w:val="007C0E7B"/>
    <w:rsid w:val="007C26B9"/>
    <w:rsid w:val="007C2F59"/>
    <w:rsid w:val="007C30A4"/>
    <w:rsid w:val="007C31DF"/>
    <w:rsid w:val="007C33A9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3D0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3AE9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549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59D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28C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98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632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795B"/>
    <w:rsid w:val="008F7FAD"/>
    <w:rsid w:val="00900339"/>
    <w:rsid w:val="00900959"/>
    <w:rsid w:val="00901323"/>
    <w:rsid w:val="009017EC"/>
    <w:rsid w:val="00901D60"/>
    <w:rsid w:val="00901E79"/>
    <w:rsid w:val="0090260F"/>
    <w:rsid w:val="00902B83"/>
    <w:rsid w:val="00903454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0F01"/>
    <w:rsid w:val="009112D7"/>
    <w:rsid w:val="009119B9"/>
    <w:rsid w:val="009121EC"/>
    <w:rsid w:val="00912A88"/>
    <w:rsid w:val="0091390A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6BC"/>
    <w:rsid w:val="00921E55"/>
    <w:rsid w:val="00921E69"/>
    <w:rsid w:val="009232E5"/>
    <w:rsid w:val="00923DFD"/>
    <w:rsid w:val="00927D53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0C28"/>
    <w:rsid w:val="00941AAB"/>
    <w:rsid w:val="00941AB8"/>
    <w:rsid w:val="00942A92"/>
    <w:rsid w:val="009433E4"/>
    <w:rsid w:val="0094349B"/>
    <w:rsid w:val="00944C33"/>
    <w:rsid w:val="00945AFC"/>
    <w:rsid w:val="0094618D"/>
    <w:rsid w:val="0094649C"/>
    <w:rsid w:val="00946A45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6611"/>
    <w:rsid w:val="00966D4A"/>
    <w:rsid w:val="0097002B"/>
    <w:rsid w:val="009703CA"/>
    <w:rsid w:val="00971C1C"/>
    <w:rsid w:val="00971E87"/>
    <w:rsid w:val="00973D79"/>
    <w:rsid w:val="0097487D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11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48A1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A66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55B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222"/>
    <w:rsid w:val="009E6E25"/>
    <w:rsid w:val="009E7041"/>
    <w:rsid w:val="009E7057"/>
    <w:rsid w:val="009E7C09"/>
    <w:rsid w:val="009E7FF0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250E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1C4"/>
    <w:rsid w:val="00A24F2C"/>
    <w:rsid w:val="00A25469"/>
    <w:rsid w:val="00A26F19"/>
    <w:rsid w:val="00A27E5B"/>
    <w:rsid w:val="00A30FF0"/>
    <w:rsid w:val="00A3145D"/>
    <w:rsid w:val="00A321BA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38BB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4B21"/>
    <w:rsid w:val="00A56101"/>
    <w:rsid w:val="00A6180C"/>
    <w:rsid w:val="00A62172"/>
    <w:rsid w:val="00A62F83"/>
    <w:rsid w:val="00A632C6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5AC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57B7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44C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4628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687A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5C15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144A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063"/>
    <w:rsid w:val="00B93152"/>
    <w:rsid w:val="00B9412F"/>
    <w:rsid w:val="00B945DF"/>
    <w:rsid w:val="00B94BC6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3CD0"/>
    <w:rsid w:val="00BA43FD"/>
    <w:rsid w:val="00BA4989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29B"/>
    <w:rsid w:val="00BC0494"/>
    <w:rsid w:val="00BC0565"/>
    <w:rsid w:val="00BC0B60"/>
    <w:rsid w:val="00BC0E72"/>
    <w:rsid w:val="00BC14AE"/>
    <w:rsid w:val="00BC19DE"/>
    <w:rsid w:val="00BC2E7F"/>
    <w:rsid w:val="00BC405F"/>
    <w:rsid w:val="00BC53C2"/>
    <w:rsid w:val="00BC5B25"/>
    <w:rsid w:val="00BC5DDD"/>
    <w:rsid w:val="00BC6618"/>
    <w:rsid w:val="00BC6F58"/>
    <w:rsid w:val="00BD16A3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1C84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A8A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A72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3467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0A8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5DDA"/>
    <w:rsid w:val="00C86674"/>
    <w:rsid w:val="00C867D4"/>
    <w:rsid w:val="00C86964"/>
    <w:rsid w:val="00C87F65"/>
    <w:rsid w:val="00C9045B"/>
    <w:rsid w:val="00C90625"/>
    <w:rsid w:val="00C90C09"/>
    <w:rsid w:val="00C90E32"/>
    <w:rsid w:val="00C912D5"/>
    <w:rsid w:val="00C91506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62A"/>
    <w:rsid w:val="00CC2AF4"/>
    <w:rsid w:val="00CC347B"/>
    <w:rsid w:val="00CC4497"/>
    <w:rsid w:val="00CC4CBE"/>
    <w:rsid w:val="00CC600F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87E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67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054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0C0A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482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CBD"/>
    <w:rsid w:val="00DD1059"/>
    <w:rsid w:val="00DD1095"/>
    <w:rsid w:val="00DD1290"/>
    <w:rsid w:val="00DD1315"/>
    <w:rsid w:val="00DD1471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277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67F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8CB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03B8"/>
    <w:rsid w:val="00E6107E"/>
    <w:rsid w:val="00E6228B"/>
    <w:rsid w:val="00E624A0"/>
    <w:rsid w:val="00E648A6"/>
    <w:rsid w:val="00E64A23"/>
    <w:rsid w:val="00E64A60"/>
    <w:rsid w:val="00E64B18"/>
    <w:rsid w:val="00E65989"/>
    <w:rsid w:val="00E65DF5"/>
    <w:rsid w:val="00E66A43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6FA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2A5A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1958"/>
    <w:rsid w:val="00F1249D"/>
    <w:rsid w:val="00F12FBB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33A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29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66F4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91F"/>
    <w:rsid w:val="00F74A39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4EF3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383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A56"/>
    <w:rsid w:val="00FE7A88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A0F6AFB"/>
  <w15:chartTrackingRefBased/>
  <w15:docId w15:val="{174F794B-8F89-40BD-AF86-8CD4EE3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05A72"/>
    <w:rPr>
      <w:color w:val="0000FF"/>
      <w:u w:val="single"/>
    </w:rPr>
  </w:style>
  <w:style w:type="paragraph" w:customStyle="1" w:styleId="testoxRiferimento">
    <w:name w:val="testo (x Riferimento)"/>
    <w:basedOn w:val="Normale"/>
    <w:rsid w:val="00B14628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IN">
    <w:name w:val="IN"/>
    <w:rsid w:val="00B14628"/>
    <w:pPr>
      <w:spacing w:line="482" w:lineRule="exact"/>
      <w:jc w:val="both"/>
    </w:pPr>
    <w:rPr>
      <w:rFonts w:ascii="Courier" w:hAnsi="Courier"/>
      <w:sz w:val="24"/>
    </w:rPr>
  </w:style>
  <w:style w:type="paragraph" w:customStyle="1" w:styleId="a">
    <w:basedOn w:val="Normale"/>
    <w:next w:val="Corpotesto"/>
    <w:rsid w:val="00D0087E"/>
    <w:rPr>
      <w:szCs w:val="20"/>
    </w:rPr>
  </w:style>
  <w:style w:type="paragraph" w:styleId="Corpotesto">
    <w:name w:val="Body Text"/>
    <w:basedOn w:val="Normale"/>
    <w:link w:val="CorpotestoCarattere"/>
    <w:rsid w:val="00D0087E"/>
    <w:pPr>
      <w:spacing w:after="120"/>
    </w:pPr>
  </w:style>
  <w:style w:type="character" w:customStyle="1" w:styleId="CorpotestoCarattere">
    <w:name w:val="Corpo testo Carattere"/>
    <w:link w:val="Corpotesto"/>
    <w:rsid w:val="00D0087E"/>
    <w:rPr>
      <w:sz w:val="24"/>
      <w:szCs w:val="24"/>
    </w:rPr>
  </w:style>
  <w:style w:type="paragraph" w:styleId="Nessunaspaziatura">
    <w:name w:val="No Spacing"/>
    <w:uiPriority w:val="1"/>
    <w:qFormat/>
    <w:rsid w:val="002B3409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8F7FAD"/>
    <w:rPr>
      <w:i/>
      <w:iCs/>
    </w:rPr>
  </w:style>
  <w:style w:type="paragraph" w:styleId="NormaleWeb">
    <w:name w:val="Normal (Web)"/>
    <w:basedOn w:val="Normale"/>
    <w:uiPriority w:val="99"/>
    <w:unhideWhenUsed/>
    <w:rsid w:val="008F7FA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8F7FA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8F7F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7FAD"/>
  </w:style>
  <w:style w:type="character" w:styleId="Rimandonotaapidipagina">
    <w:name w:val="footnote reference"/>
    <w:rsid w:val="008F7FAD"/>
    <w:rPr>
      <w:vertAlign w:val="superscript"/>
    </w:rPr>
  </w:style>
  <w:style w:type="character" w:styleId="Rimandocommento">
    <w:name w:val="annotation reference"/>
    <w:rsid w:val="0050092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0092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00928"/>
  </w:style>
  <w:style w:type="paragraph" w:styleId="Soggettocommento">
    <w:name w:val="annotation subject"/>
    <w:basedOn w:val="Testocommento"/>
    <w:next w:val="Testocommento"/>
    <w:link w:val="SoggettocommentoCarattere"/>
    <w:rsid w:val="00500928"/>
    <w:rPr>
      <w:b/>
      <w:bCs/>
    </w:rPr>
  </w:style>
  <w:style w:type="character" w:customStyle="1" w:styleId="SoggettocommentoCarattere">
    <w:name w:val="Soggetto commento Carattere"/>
    <w:link w:val="Soggettocommento"/>
    <w:rsid w:val="00500928"/>
    <w:rPr>
      <w:b/>
      <w:bCs/>
    </w:rPr>
  </w:style>
  <w:style w:type="character" w:styleId="Menzionenonrisolta">
    <w:name w:val="Unresolved Mention"/>
    <w:uiPriority w:val="99"/>
    <w:semiHidden/>
    <w:unhideWhenUsed/>
    <w:rsid w:val="00E308CB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2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mec.dipartimento@pec.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1550</Words>
  <Characters>10248</Characters>
  <Application>Microsoft Office Word</Application>
  <DocSecurity>0</DocSecurity>
  <Lines>183</Lines>
  <Paragraphs>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Università di Bologna</Company>
  <LinksUpToDate>false</LinksUpToDate>
  <CharactersWithSpaces>11705</CharactersWithSpaces>
  <SharedDoc>false</SharedDoc>
  <HLinks>
    <vt:vector size="12" baseType="variant">
      <vt:variant>
        <vt:i4>7929880</vt:i4>
      </vt:variant>
      <vt:variant>
        <vt:i4>0</vt:i4>
      </vt:variant>
      <vt:variant>
        <vt:i4>0</vt:i4>
      </vt:variant>
      <vt:variant>
        <vt:i4>5</vt:i4>
      </vt:variant>
      <vt:variant>
        <vt:lpwstr>https://www.aricweb.unibo.it/AssegniRicerca_Richieste/index.aspx</vt:lpwstr>
      </vt:variant>
      <vt:variant>
        <vt:lpwstr/>
      </vt:variant>
      <vt:variant>
        <vt:i4>4915313</vt:i4>
      </vt:variant>
      <vt:variant>
        <vt:i4>0</vt:i4>
      </vt:variant>
      <vt:variant>
        <vt:i4>0</vt:i4>
      </vt:variant>
      <vt:variant>
        <vt:i4>5</vt:i4>
      </vt:variant>
      <vt:variant>
        <vt:lpwstr>mailto:dimec.dipartimento@pec.unibo.it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Davide Agnoletti</cp:lastModifiedBy>
  <cp:revision>2</cp:revision>
  <cp:lastPrinted>2017-02-03T09:22:00Z</cp:lastPrinted>
  <dcterms:created xsi:type="dcterms:W3CDTF">2023-05-03T12:29:00Z</dcterms:created>
  <dcterms:modified xsi:type="dcterms:W3CDTF">2023-05-03T12:29:00Z</dcterms:modified>
</cp:coreProperties>
</file>